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Danford Michael Dewayne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10344 SAM HOUSTON PARK DRIVE</w:t>
            </w:r>
          </w:p>
        </w:tc>
      </w:tr>
      <w:tr>
        <w:trPr>
          <w:trHeight w:val="267"/>
        </w:trPr>
        <w:tc>
          <w:tcPr>
            <w:tcW w:w="4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SUITE 300</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FORUM ENERGY TECHNOLOGIES,</w:t>
              </w:r>
            </w:hyperlink>
          </w:p>
        </w:tc>
        <w:tc>
          <w:tcPr>
            <w:tcW w:w="21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420" w:type="dxa"/>
            <w:vAlign w:val="bottom"/>
            <w:tcBorders>
              <w:bottom w:val="single" w:sz="8" w:color="0000EE"/>
            </w:tcBorders>
          </w:tcPr>
          <w:p>
            <w:pPr>
              <w:spacing w:after="0"/>
              <w:rPr>
                <w:sz w:val="3"/>
                <w:szCs w:val="3"/>
                <w:color w:val="auto"/>
              </w:rPr>
            </w:pPr>
          </w:p>
        </w:tc>
        <w:tc>
          <w:tcPr>
            <w:tcW w:w="2980" w:type="dxa"/>
            <w:vAlign w:val="bottom"/>
            <w:tcBorders>
              <w:bottom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9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140" w:type="dxa"/>
            <w:vAlign w:val="bottom"/>
          </w:tcPr>
          <w:p>
            <w:pPr>
              <w:ind w:left="6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2140" w:type="dxa"/>
            <w:vAlign w:val="bottom"/>
          </w:tcPr>
          <w:p>
            <w:pPr>
              <w:ind w:left="1200"/>
              <w:spacing w:after="0" w:line="185" w:lineRule="exact"/>
              <w:rPr>
                <w:sz w:val="20"/>
                <w:szCs w:val="20"/>
                <w:color w:val="auto"/>
              </w:rPr>
            </w:pPr>
            <w:r>
              <w:rPr>
                <w:rFonts w:ascii="Times New Roman" w:cs="Times New Roman" w:eastAsia="Times New Roman" w:hAnsi="Times New Roman"/>
                <w:sz w:val="17"/>
                <w:szCs w:val="17"/>
                <w:color w:val="0000FF"/>
              </w:rPr>
              <w:t>SVP &amp; CHO</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9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55.49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54,139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between $55.39 and $55.79. The reporting person undertakes to provide to any security holder of Forum Energy Technologies, Inc. or the staff of the Securities Exchange Commission, upon request, full information regarding the number of shares sold at each separate price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D. Danford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7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John C. Ivascu as Attorney-in- 05/14/2026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4986" TargetMode="External"/><Relationship Id="rId14" Type="http://schemas.openxmlformats.org/officeDocument/2006/relationships/hyperlink" Target="http://www.sec.gov/cgi-bin/browse-edgar?action=getcompany&amp;CIK=0001401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2026-05-14T08:45:51Z</dcterms:created>
  <dcterms:modified xsi:type="dcterms:W3CDTF">2026-05-14T08:45:51Z</dcterms:modified>
</cp:coreProperties>
</file>