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30, 2026 </w:t>
      </w:r>
    </w:p>
    <w:p>
      <w:pPr>
        <w:pStyle w:val="TextBody"/>
        <w:bidi w:val="0"/>
        <w:spacing w:before="60" w:after="283"/>
        <w:jc w:val="center"/>
        <w:rPr/>
      </w:pPr>
      <w:r>
        <w:rPr/>
      </w:r>
    </w:p>
    <w:p>
      <w:pPr>
        <w:pStyle w:val="TextBody"/>
        <w:bidi w:val="0"/>
        <w:spacing w:lineRule="auto" w:line="345" w:before="60" w:after="283"/>
        <w:jc w:val="center"/>
        <w:rPr>
          <w:rFonts w:ascii="Times New Roman;serif" w:hAnsi="Times New Roman;serif"/>
          <w:b/>
          <w:color w:val="000000"/>
          <w:sz w:val="36"/>
        </w:rPr>
      </w:pPr>
      <w:r>
        <w:rPr>
          <w:rFonts w:ascii="Times New Roman;serif" w:hAnsi="Times New Roman;serif"/>
          <w:b/>
          <w:color w:val="000000"/>
          <w:sz w:val="36"/>
        </w:rPr>
        <w:t xml:space="preserve">FORUM ENERGY TECHNOLOGIES, INC. </w:t>
      </w:r>
    </w:p>
    <w:p>
      <w:pPr>
        <w:pStyle w:val="TextBody"/>
        <w:bidi w:val="0"/>
        <w:spacing w:lineRule="auto" w:line="288" w:before="60" w:after="1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069"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394"/>
        <w:gridCol w:w="394"/>
        <w:gridCol w:w="39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61-1488595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970" w:type="dxa"/>
        <w:jc w:val="center"/>
        <w:tblInd w:w="0" w:type="dxa"/>
        <w:tblLayout w:type="fixed"/>
        <w:tblCellMar>
          <w:top w:w="28" w:type="dxa"/>
          <w:left w:w="28" w:type="dxa"/>
          <w:bottom w:w="28" w:type="dxa"/>
          <w:right w:w="28" w:type="dxa"/>
        </w:tblCellMar>
      </w:tblPr>
      <w:tblGrid>
        <w:gridCol w:w="1015"/>
        <w:gridCol w:w="893"/>
        <w:gridCol w:w="896"/>
        <w:gridCol w:w="314"/>
        <w:gridCol w:w="314"/>
        <w:gridCol w:w="316"/>
        <w:gridCol w:w="270"/>
        <w:gridCol w:w="270"/>
        <w:gridCol w:w="271"/>
        <w:gridCol w:w="125"/>
        <w:gridCol w:w="125"/>
        <w:gridCol w:w="126"/>
        <w:gridCol w:w="303"/>
        <w:gridCol w:w="303"/>
        <w:gridCol w:w="429"/>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10344 Sam Houston Park Drive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Suite 300</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TX</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77064</w:t>
            </w:r>
          </w:p>
        </w:tc>
      </w:tr>
      <w:tr>
        <w:trPr/>
        <w:tc>
          <w:tcPr>
            <w:tcW w:w="493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1380" w:type="dxa"/>
        <w:jc w:val="center"/>
        <w:tblInd w:w="0" w:type="dxa"/>
        <w:tblLayout w:type="fixed"/>
        <w:tblCellMar>
          <w:top w:w="28" w:type="dxa"/>
          <w:left w:w="28" w:type="dxa"/>
          <w:bottom w:w="28" w:type="dxa"/>
          <w:right w:w="28" w:type="dxa"/>
        </w:tblCellMar>
      </w:tblPr>
      <w:tblGrid>
        <w:gridCol w:w="158"/>
        <w:gridCol w:w="138"/>
        <w:gridCol w:w="140"/>
        <w:gridCol w:w="276"/>
        <w:gridCol w:w="276"/>
        <w:gridCol w:w="39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949-2500</w:t>
            </w:r>
          </w:p>
        </w:tc>
      </w:tr>
    </w:tbl>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45"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45" w:before="12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499"/>
        <w:gridCol w:w="499"/>
        <w:gridCol w:w="501"/>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 Texas, Inc.</w:t>
            </w:r>
          </w:p>
        </w:tc>
      </w:tr>
    </w:tbl>
    <w:p>
      <w:pPr>
        <w:pStyle w:val="TextBody"/>
        <w:bidi w:val="0"/>
        <w:spacing w:lineRule="auto" w:line="345" w:before="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45" w:before="120" w:after="120"/>
        <w:jc w:val="both"/>
        <w:rPr/>
      </w:pPr>
      <w:r>
        <w:rPr>
          <w:rFonts w:ascii="Times New Roman;serif" w:hAnsi="Times New Roman;serif"/>
          <w:b w:val="false"/>
          <w:color w:val="211D1E"/>
          <w:sz w:val="20"/>
        </w:rPr>
        <w:t xml:space="preserve">Emerging growth company </w:t>
      </w:r>
      <w:r>
        <w:rPr>
          <w:color w:val="000000"/>
        </w:rPr>
        <w:t>☐</w:t>
      </w:r>
      <w:r>
        <w:rPr>
          <w:color w:val="211D1E"/>
        </w:rPr>
        <w:t xml:space="preserve"> </w:t>
      </w:r>
    </w:p>
    <w:p>
      <w:pPr>
        <w:pStyle w:val="TextBody"/>
        <w:bidi w:val="0"/>
        <w:spacing w:lineRule="auto" w:line="345"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pPr>
      <w:r>
        <w:rPr>
          <w:rFonts w:ascii="Times New Roman;serif" w:hAnsi="Times New Roman;serif"/>
          <w:b w:val="false"/>
          <w:color w:val="000000"/>
          <w:sz w:val="20"/>
        </w:rPr>
        <w:t>On July 30, 2026, Forum Energy Technologies,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announcing earnings for the quarter ended June 30, 2026. A copy of the release is furnished herewith as Exhibit 99.1 and incorporated herein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Exhibit 99.1 to this report contains “non-GAAP financial measures” as defined in Item 10 of Regulation S-K of the Securities Exchange Act of 1934, as amended (the “Exchange Act”). The non-GAAP financial measures reflect earnings before interest, taxes, depreciation and amortization expense (“EBITDA”), adjusted EBITDA, adjusted EBITDA margin, adjusted operating income, adjusted net income, adjusted net income margin, adjusted net income per diluted share (“Adjusted Diluted EPS”), book to bill ratio, free cash flow before acquisitions (“free cash flow”) and net leverage ratio. A reconciliation of EBITDA, adjusted EBITDA, adjusted operating income, adjusted net income, Adjusted Diluted EPS, book to bill ratio and free cash flow to the most directly comparable financial measures calculated and presented in accordance with Generally Accepted Accounting Principles in the United States (“GAAP”) is included as an attachment to the press release. The Company believes the presentation of EBITDA, adjusted EBITDA, adjusted EBITDA margin, adjusted operating income, adjusted net income, adjusted net income margin, Adjusted Diluted EPS, book to bill ratio, free cash flow and net leverage ratio are useful to the Company's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this additional information is not meant to be considered in isolation or as a substitute for the Company's financial results prepared in accordance with 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Current Report shall not be deemed to be “filed” for purposes of Section 18 of the Exchange Act or otherwise subject to the liabilities of that section, nor shall it be incorporated by reference into a filing under the Securities Act of 1933, or the Exchange Act, except as shall be expressly set forth by specific reference in such filing.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3"/>
        <w:gridCol w:w="2573"/>
        <w:gridCol w:w="3665"/>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fetearningsrel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30, 2026.</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120" w:after="1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831" w:type="dxa"/>
        <w:jc w:val="left"/>
        <w:tblInd w:w="0" w:type="dxa"/>
        <w:tblLayout w:type="fixed"/>
        <w:tblCellMar>
          <w:top w:w="28" w:type="dxa"/>
          <w:left w:w="28" w:type="dxa"/>
          <w:bottom w:w="28" w:type="dxa"/>
          <w:right w:w="28" w:type="dxa"/>
        </w:tblCellMar>
      </w:tblPr>
      <w:tblGrid>
        <w:gridCol w:w="618"/>
        <w:gridCol w:w="544"/>
        <w:gridCol w:w="547"/>
        <w:gridCol w:w="859"/>
        <w:gridCol w:w="859"/>
        <w:gridCol w:w="859"/>
        <w:gridCol w:w="859"/>
        <w:gridCol w:w="859"/>
        <w:gridCol w:w="859"/>
        <w:gridCol w:w="859"/>
        <w:gridCol w:w="859"/>
        <w:gridCol w:w="87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7750" w:type="dxa"/>
            <w:gridSpan w:val="9"/>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20"/>
              </w:rPr>
            </w:pPr>
            <w:r>
              <w:rPr>
                <w:rFonts w:ascii="Times New Roman;serif" w:hAnsi="Times New Roman;serif"/>
                <w:b/>
                <w:color w:val="000000"/>
                <w:sz w:val="20"/>
              </w:rPr>
              <w:t>FORUM ENERGY TECHNOLOGIES, INC.</w:t>
            </w:r>
          </w:p>
          <w:p>
            <w:pPr>
              <w:pStyle w:val="TableContents"/>
              <w:bidi w:val="0"/>
              <w:spacing w:before="0" w:after="4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John C. Ivascu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Chief Compliance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99.1</w:t>
      </w:r>
    </w:p>
    <w:p>
      <w:pPr>
        <w:pStyle w:val="TextBody"/>
        <w:bidi w:val="0"/>
        <w:spacing w:before="100" w:after="100"/>
        <w:jc w:val="left"/>
        <w:rPr/>
      </w:pPr>
      <w:r>
        <w:rPr/>
        <w:drawing>
          <wp:inline distT="0" distB="0" distL="0" distR="0">
            <wp:extent cx="11430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43000" cy="542925"/>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Forum Energy Technologies Announces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Second Quarter 2026 Results;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Raises Full Year 2026 Guidance</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Orders: $236 million, book-to-bill ratio of 104%</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Revenue: $226 million, up 8% sequentially</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Net income and earnings per share: $12 million and $1.05, up 176% and 169%</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Adjusted net income and adjusted earnings per share</w:t>
      </w:r>
      <w:r>
        <w:rPr>
          <w:rFonts w:ascii="sans-serif" w:hAnsi="sans-serif"/>
          <w:b/>
          <w:color w:val="000000"/>
          <w:sz w:val="14"/>
        </w:rPr>
        <w:t>1</w:t>
      </w:r>
      <w:r>
        <w:rPr>
          <w:rFonts w:ascii="sans-serif" w:hAnsi="sans-serif"/>
          <w:b/>
          <w:color w:val="000000"/>
          <w:sz w:val="22"/>
        </w:rPr>
        <w:t>: $14 million and $1.16, up 148% and 147%</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Adjusted EBITDA: $32 million, up 39% sequentially</w:t>
      </w:r>
    </w:p>
    <w:p>
      <w:pPr>
        <w:pStyle w:val="TextBody"/>
        <w:bidi w:val="0"/>
        <w:spacing w:lineRule="auto" w:line="288" w:before="180" w:after="283"/>
        <w:ind w:left="0" w:right="0" w:hanging="360"/>
        <w:jc w:val="left"/>
        <w:rPr/>
      </w:pPr>
      <w:r>
        <w:rPr>
          <w:color w:val="000000"/>
        </w:rPr>
        <w:t>•</w:t>
      </w:r>
      <w:r>
        <w:rPr>
          <w:rFonts w:ascii="sans-serif" w:hAnsi="sans-serif"/>
          <w:b/>
          <w:color w:val="000000"/>
          <w:sz w:val="22"/>
        </w:rPr>
        <w:t>Shareholder returns: $8 million repurchased in first half 2026</w:t>
      </w:r>
    </w:p>
    <w:p>
      <w:pPr>
        <w:pStyle w:val="TextBody"/>
        <w:bidi w:val="0"/>
        <w:spacing w:lineRule="auto" w:line="417" w:before="420" w:after="283"/>
        <w:jc w:val="both"/>
        <w:rPr>
          <w:rFonts w:ascii="sans-serif" w:hAnsi="sans-serif"/>
          <w:b w:val="false"/>
          <w:color w:val="000000"/>
          <w:sz w:val="22"/>
        </w:rPr>
      </w:pPr>
      <w:r>
        <w:rPr>
          <w:rFonts w:ascii="sans-serif" w:hAnsi="sans-serif"/>
          <w:b w:val="false"/>
          <w:color w:val="000000"/>
          <w:sz w:val="22"/>
        </w:rPr>
        <w:t>HOUSTON, TEXAS, July 30, 2026 - Forum Energy Technologies, Inc. (NYSE: FET) today announced second quarter 2026 results and updates to third quarter and full year 2026 guidance.</w:t>
      </w:r>
    </w:p>
    <w:p>
      <w:pPr>
        <w:pStyle w:val="TextBody"/>
        <w:bidi w:val="0"/>
        <w:spacing w:lineRule="auto" w:line="417" w:before="240" w:after="283"/>
        <w:jc w:val="both"/>
        <w:rPr>
          <w:rFonts w:ascii="sans-serif" w:hAnsi="sans-serif"/>
          <w:b w:val="false"/>
          <w:color w:val="000000"/>
          <w:sz w:val="22"/>
        </w:rPr>
      </w:pPr>
      <w:r>
        <w:rPr>
          <w:rFonts w:ascii="sans-serif" w:hAnsi="sans-serif"/>
          <w:b w:val="false"/>
          <w:color w:val="000000"/>
          <w:sz w:val="22"/>
        </w:rPr>
        <w:t>Neal Lux, President and Chief Executive Officer, remarked, “At the beginning of the quarter, we guided a substantial increase in financial performance, and our team exceeded expectations. Sequentially, we grew market share 13%, increased revenue 8%, expanded gross and adjusted EBITDA margins 230 and 300 basis points, and improved adjusted net income 148%. Importantly, free cash flow enabled us to repurchase shares while reducing net leverage to 1.1 times. By executing our 'Beat the Market' strategy and delivering solid operational performance, we achieved a stellar quarter.</w:t>
      </w:r>
    </w:p>
    <w:p>
      <w:pPr>
        <w:pStyle w:val="TextBody"/>
        <w:bidi w:val="0"/>
        <w:spacing w:lineRule="auto" w:line="417" w:before="240" w:after="283"/>
        <w:jc w:val="both"/>
        <w:rPr>
          <w:color w:val="000000"/>
        </w:rPr>
      </w:pPr>
      <w:r>
        <w:rPr>
          <w:color w:val="000000"/>
        </w:rPr>
        <w:t>“</w:t>
      </w:r>
      <w:r>
        <w:rPr>
          <w:rFonts w:ascii="sans-serif" w:hAnsi="sans-serif"/>
          <w:b w:val="false"/>
          <w:color w:val="000000"/>
          <w:sz w:val="22"/>
        </w:rPr>
        <w:t>With the strength of our first half performance, market share gains, and backlog, we are raising all guidance metrics for full year 2026. This expected growth puts us on the path to deliver our FET 2030 strategic vision.”</w:t>
      </w:r>
    </w:p>
    <w:tbl>
      <w:tblPr>
        <w:tblW w:w="10205" w:type="dxa"/>
        <w:jc w:val="center"/>
        <w:tblInd w:w="0" w:type="dxa"/>
        <w:tblLayout w:type="fixed"/>
        <w:tblCellMar>
          <w:top w:w="28" w:type="dxa"/>
          <w:left w:w="28" w:type="dxa"/>
          <w:bottom w:w="28" w:type="dxa"/>
          <w:right w:w="28" w:type="dxa"/>
        </w:tblCellMar>
      </w:tblPr>
      <w:tblGrid>
        <w:gridCol w:w="492"/>
        <w:gridCol w:w="433"/>
        <w:gridCol w:w="435"/>
        <w:gridCol w:w="670"/>
        <w:gridCol w:w="474"/>
        <w:gridCol w:w="379"/>
        <w:gridCol w:w="365"/>
        <w:gridCol w:w="366"/>
        <w:gridCol w:w="109"/>
        <w:gridCol w:w="109"/>
        <w:gridCol w:w="109"/>
        <w:gridCol w:w="391"/>
        <w:gridCol w:w="391"/>
        <w:gridCol w:w="392"/>
        <w:gridCol w:w="133"/>
        <w:gridCol w:w="133"/>
        <w:gridCol w:w="133"/>
        <w:gridCol w:w="507"/>
        <w:gridCol w:w="507"/>
        <w:gridCol w:w="508"/>
        <w:gridCol w:w="133"/>
        <w:gridCol w:w="133"/>
        <w:gridCol w:w="133"/>
        <w:gridCol w:w="404"/>
        <w:gridCol w:w="404"/>
        <w:gridCol w:w="405"/>
        <w:gridCol w:w="109"/>
        <w:gridCol w:w="109"/>
        <w:gridCol w:w="109"/>
        <w:gridCol w:w="356"/>
        <w:gridCol w:w="356"/>
        <w:gridCol w:w="518"/>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Third Quarter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Full Year 2026 Guidance</w:t>
            </w:r>
          </w:p>
        </w:tc>
        <w:tc>
          <w:tcPr>
            <w:tcW w:w="1557" w:type="dxa"/>
            <w:gridSpan w:val="6"/>
            <w:tcBorders/>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Range ($ millions)</w:t>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YoY Change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Range ($ millions)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Prior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YoY Change %</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5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$225 to $245</w:t>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$870 to $910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Adjusted EBITDA</w:t>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 to $37</w:t>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$115 to $125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Adjusted Net Income</w:t>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 to $18</w:t>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 to $52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571%</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r>
              <w:rPr>
                <w:rFonts w:ascii="sans-serif" w:hAnsi="sans-serif"/>
                <w:b w:val="false"/>
                <w:color w:val="000000"/>
                <w:sz w:val="13"/>
              </w:rPr>
              <w:t>2</w:t>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 to $25</w:t>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 to $77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w:t>
            </w:r>
          </w:p>
        </w:tc>
      </w:tr>
    </w:tbl>
    <w:p>
      <w:pPr>
        <w:pStyle w:val="TextBody"/>
        <w:bidi w:val="0"/>
        <w:spacing w:before="240" w:after="283"/>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sans-serif" w:hAnsi="sans-serif"/>
          <w:b w:val="false"/>
          <w:color w:val="000000"/>
          <w:sz w:val="18"/>
        </w:rPr>
        <w:t>See Tables 1-8 for a reconciliation of GAAP to non-GAAP financial information, including a breakdown of adjusting items.</w:t>
      </w:r>
    </w:p>
    <w:p>
      <w:pPr>
        <w:pStyle w:val="TextBody"/>
        <w:bidi w:val="0"/>
        <w:spacing w:lineRule="auto" w:line="288"/>
        <w:ind w:left="0" w:right="0" w:hanging="90"/>
        <w:jc w:val="left"/>
        <w:rPr/>
      </w:pPr>
      <w:r>
        <w:rPr>
          <w:rFonts w:ascii="sans-serif" w:hAnsi="sans-serif"/>
          <w:b w:val="false"/>
          <w:color w:val="000000"/>
          <w:sz w:val="12"/>
        </w:rPr>
        <w:t>2</w:t>
      </w:r>
      <w:r>
        <w:rPr>
          <w:color w:val="000000"/>
        </w:rPr>
        <w:t xml:space="preserve"> </w:t>
      </w:r>
      <w:r>
        <w:rPr>
          <w:rFonts w:ascii="sans-serif" w:hAnsi="sans-serif"/>
          <w:b w:val="false"/>
          <w:color w:val="000000"/>
          <w:sz w:val="18"/>
        </w:rPr>
        <w:t>For comparative purposes, free cash flow for the third quarter and full year 2025 excludes approximately $7 million and $15 million, respectively, of proceeds from sale-leaseback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417" w:before="240" w:after="283"/>
        <w:jc w:val="both"/>
        <w:rPr/>
      </w:pPr>
      <w:r>
        <w:rPr>
          <w:rFonts w:ascii="sans-serif" w:hAnsi="sans-serif"/>
          <w:b/>
          <w:color w:val="000000"/>
          <w:sz w:val="22"/>
          <w:u w:val="single"/>
          <w:shd w:fill="FFFFFF" w:val="clear"/>
        </w:rPr>
        <w:t>Segment</w:t>
      </w:r>
      <w:r>
        <w:rPr>
          <w:color w:val="000000"/>
          <w:u w:val="single"/>
        </w:rPr>
        <w:t xml:space="preserve"> </w:t>
      </w:r>
      <w:r>
        <w:rPr>
          <w:rFonts w:ascii="sans-serif" w:hAnsi="sans-serif"/>
          <w:b/>
          <w:color w:val="000000"/>
          <w:sz w:val="22"/>
          <w:u w:val="single"/>
        </w:rPr>
        <w:t>Results</w:t>
      </w:r>
      <w:r>
        <w:rPr>
          <w:color w:val="000000"/>
        </w:rPr>
        <w:t xml:space="preserve"> </w:t>
      </w:r>
      <w:r>
        <w:rPr>
          <w:rFonts w:ascii="sans-serif" w:hAnsi="sans-serif"/>
          <w:b w:val="false"/>
          <w:i/>
          <w:color w:val="000000"/>
          <w:sz w:val="22"/>
        </w:rPr>
        <w:t>(unless otherwise noted, comparisons are second quarter 2026 versus first</w:t>
      </w:r>
      <w:r>
        <w:rPr>
          <w:color w:val="000000"/>
        </w:rPr>
        <w:t xml:space="preserve"> </w:t>
      </w:r>
      <w:r>
        <w:rPr>
          <w:rFonts w:ascii="sans-serif" w:hAnsi="sans-serif"/>
          <w:b w:val="false"/>
          <w:i/>
          <w:color w:val="000000"/>
          <w:sz w:val="22"/>
        </w:rPr>
        <w:t xml:space="preserve">quarter </w:t>
      </w:r>
      <w:r>
        <w:rPr>
          <w:rFonts w:ascii="sans-serif" w:hAnsi="sans-serif"/>
          <w:b w:val="false"/>
          <w:color w:val="000000"/>
          <w:sz w:val="22"/>
        </w:rPr>
        <w:t>2026</w:t>
      </w:r>
      <w:r>
        <w:rPr>
          <w:rFonts w:ascii="sans-serif" w:hAnsi="sans-serif"/>
          <w:b w:val="false"/>
          <w:i/>
          <w:color w:val="000000"/>
          <w:sz w:val="22"/>
        </w:rPr>
        <w:t>)</w:t>
      </w:r>
    </w:p>
    <w:p>
      <w:pPr>
        <w:pStyle w:val="TextBody"/>
        <w:bidi w:val="0"/>
        <w:spacing w:lineRule="auto" w:line="417" w:before="180" w:after="283"/>
        <w:jc w:val="both"/>
        <w:rPr/>
      </w:pPr>
      <w:r>
        <w:rPr>
          <w:rFonts w:ascii="sans-serif" w:hAnsi="sans-serif"/>
          <w:b w:val="false"/>
          <w:color w:val="000000"/>
          <w:sz w:val="22"/>
          <w:shd w:fill="FFFFFF" w:val="clear"/>
        </w:rPr>
        <w:t>Drilling and Completions segment revenue was $139 million, a 10%</w:t>
      </w:r>
      <w:r>
        <w:rPr>
          <w:color w:val="000000"/>
        </w:rPr>
        <w:t xml:space="preserve"> </w:t>
      </w:r>
      <w:r>
        <w:rPr>
          <w:rFonts w:ascii="sans-serif" w:hAnsi="sans-serif"/>
          <w:b w:val="false"/>
          <w:color w:val="000000"/>
          <w:sz w:val="22"/>
          <w:shd w:fill="FFFFFF" w:val="clear"/>
        </w:rPr>
        <w:t>increase due to higher demand for coiled tubing, wireline cables, and capital equipment, particularly iron roughnecks and radiators</w:t>
      </w:r>
      <w:r>
        <w:rPr>
          <w:rFonts w:ascii="sans-serif" w:hAnsi="sans-serif"/>
          <w:b w:val="false"/>
          <w:color w:val="000000"/>
          <w:sz w:val="22"/>
        </w:rPr>
        <w:t xml:space="preserve">. Adjusted EBITDA of $16 million </w:t>
      </w:r>
      <w:r>
        <w:rPr>
          <w:rFonts w:ascii="sans-serif" w:hAnsi="sans-serif"/>
          <w:b w:val="false"/>
          <w:color w:val="000000"/>
          <w:sz w:val="22"/>
          <w:shd w:fill="FFFFFF" w:val="clear"/>
        </w:rPr>
        <w:t>increase</w:t>
      </w:r>
      <w:r>
        <w:rPr>
          <w:rFonts w:ascii="sans-serif" w:hAnsi="sans-serif"/>
          <w:b w:val="false"/>
          <w:color w:val="000000"/>
          <w:sz w:val="22"/>
        </w:rPr>
        <w:t xml:space="preserve">d </w:t>
      </w:r>
      <w:r>
        <w:rPr>
          <w:rFonts w:ascii="sans-serif" w:hAnsi="sans-serif"/>
          <w:b w:val="false"/>
          <w:color w:val="000000"/>
          <w:sz w:val="22"/>
          <w:shd w:fill="FFFFFF" w:val="clear"/>
        </w:rPr>
        <w:t xml:space="preserve">29%, </w:t>
      </w:r>
      <w:r>
        <w:rPr>
          <w:rFonts w:ascii="sans-serif" w:hAnsi="sans-serif"/>
          <w:b w:val="false"/>
          <w:color w:val="000000"/>
          <w:sz w:val="22"/>
        </w:rPr>
        <w:t xml:space="preserve">benefiting from cost management and improved plant utilization related to facility consolidation. Book-to-bill was </w:t>
      </w:r>
      <w:r>
        <w:rPr>
          <w:rFonts w:ascii="sans-serif" w:hAnsi="sans-serif"/>
          <w:b w:val="false"/>
          <w:color w:val="000000"/>
          <w:sz w:val="22"/>
          <w:shd w:fill="FFFFFF" w:val="clear"/>
        </w:rPr>
        <w:t xml:space="preserve">104% with strong Subsea product line orders for aftermarket upgrades to ROVs. </w:t>
      </w:r>
      <w:r>
        <w:rPr>
          <w:rFonts w:ascii="sans-serif" w:hAnsi="sans-serif"/>
          <w:b w:val="false"/>
          <w:color w:val="000000"/>
          <w:sz w:val="22"/>
        </w:rPr>
        <w:t>Drilling and Completions provides consumable products and capital equipment for drilling, subsea, coiled tubing, wireline, and stimulation markets.</w:t>
      </w:r>
    </w:p>
    <w:p>
      <w:pPr>
        <w:pStyle w:val="TextBody"/>
        <w:bidi w:val="0"/>
        <w:spacing w:lineRule="auto" w:line="417" w:before="180" w:after="283"/>
        <w:jc w:val="both"/>
        <w:rPr/>
      </w:pPr>
      <w:r>
        <w:rPr>
          <w:rFonts w:ascii="sans-serif" w:hAnsi="sans-serif"/>
          <w:b w:val="false"/>
          <w:color w:val="000000"/>
          <w:sz w:val="22"/>
          <w:shd w:fill="FFFFFF" w:val="clear"/>
        </w:rPr>
        <w:t>Artificial Lift and Downhole segment revenue was $87 million, a 6% increase, due to</w:t>
      </w:r>
      <w:r>
        <w:rPr>
          <w:color w:val="000000"/>
        </w:rPr>
        <w:t xml:space="preserve"> </w:t>
      </w:r>
      <w:r>
        <w:rPr>
          <w:rFonts w:ascii="sans-serif" w:hAnsi="sans-serif"/>
          <w:b w:val="false"/>
          <w:color w:val="000000"/>
          <w:sz w:val="22"/>
        </w:rPr>
        <w:t>higher demand for sand and flow control solutions, artificial lift products, and casing equipment. Partially offsetting the increase was delayed production equipment deliveries</w:t>
      </w:r>
      <w:r>
        <w:rPr>
          <w:rFonts w:ascii="sans-serif" w:hAnsi="sans-serif"/>
          <w:b w:val="false"/>
          <w:color w:val="000000"/>
          <w:sz w:val="24"/>
          <w:shd w:fill="FFFFFF" w:val="clear"/>
        </w:rPr>
        <w:t xml:space="preserve">. </w:t>
      </w:r>
      <w:r>
        <w:rPr>
          <w:rFonts w:ascii="sans-serif" w:hAnsi="sans-serif"/>
          <w:b w:val="false"/>
          <w:color w:val="000000"/>
          <w:sz w:val="22"/>
          <w:shd w:fill="FFFFFF" w:val="clear"/>
        </w:rPr>
        <w:t xml:space="preserve">Adjusted EBITDA of </w:t>
      </w:r>
      <w:r>
        <w:rPr>
          <w:rFonts w:ascii="sans-serif" w:hAnsi="sans-serif"/>
          <w:b w:val="false"/>
          <w:color w:val="000000"/>
          <w:sz w:val="22"/>
        </w:rPr>
        <w:t xml:space="preserve">$22 million </w:t>
      </w:r>
      <w:r>
        <w:rPr>
          <w:rFonts w:ascii="sans-serif" w:hAnsi="sans-serif"/>
          <w:b w:val="false"/>
          <w:color w:val="000000"/>
          <w:sz w:val="22"/>
          <w:shd w:fill="FFFFFF" w:val="clear"/>
        </w:rPr>
        <w:t xml:space="preserve">increased 30% </w:t>
      </w:r>
      <w:r>
        <w:rPr>
          <w:rFonts w:ascii="sans-serif" w:hAnsi="sans-serif"/>
          <w:b w:val="false"/>
          <w:color w:val="000000"/>
          <w:sz w:val="22"/>
        </w:rPr>
        <w:t xml:space="preserve">from higher sales volumes and favorable product mix. Book-to-bill was </w:t>
      </w:r>
      <w:r>
        <w:rPr>
          <w:rFonts w:ascii="sans-serif" w:hAnsi="sans-serif"/>
          <w:b w:val="false"/>
          <w:color w:val="000000"/>
          <w:sz w:val="22"/>
          <w:shd w:fill="FFFFFF" w:val="clear"/>
        </w:rPr>
        <w:t xml:space="preserve">105% </w:t>
      </w:r>
      <w:r>
        <w:rPr>
          <w:rFonts w:ascii="sans-serif" w:hAnsi="sans-serif"/>
          <w:b w:val="false"/>
          <w:color w:val="000000"/>
          <w:sz w:val="22"/>
        </w:rPr>
        <w:t>with strong Downhole product line orders. Artificial Lift and Downhole engineers, manufactures, and supplies products for well construction, artificial lift, and oil and natural gas processing.</w:t>
      </w:r>
    </w:p>
    <w:p>
      <w:pPr>
        <w:pStyle w:val="TextBody"/>
        <w:bidi w:val="0"/>
        <w:spacing w:lineRule="auto" w:line="417" w:before="180" w:after="283"/>
        <w:jc w:val="both"/>
        <w:rPr>
          <w:rFonts w:ascii="sans-serif" w:hAnsi="sans-serif"/>
          <w:b/>
          <w:color w:val="000000"/>
          <w:sz w:val="22"/>
          <w:u w:val="single"/>
          <w:shd w:fill="FFFFFF" w:val="clear"/>
        </w:rPr>
      </w:pPr>
      <w:r>
        <w:rPr>
          <w:rFonts w:ascii="sans-serif" w:hAnsi="sans-serif"/>
          <w:b/>
          <w:color w:val="000000"/>
          <w:sz w:val="22"/>
          <w:u w:val="single"/>
          <w:shd w:fill="FFFFFF" w:val="clear"/>
        </w:rPr>
        <w:t>Earnings Conference Call</w:t>
      </w:r>
    </w:p>
    <w:p>
      <w:pPr>
        <w:pStyle w:val="TextBody"/>
        <w:bidi w:val="0"/>
        <w:spacing w:lineRule="auto" w:line="417" w:before="180" w:after="283"/>
        <w:jc w:val="both"/>
        <w:rPr/>
      </w:pPr>
      <w:r>
        <w:rPr>
          <w:rFonts w:ascii="sans-serif" w:hAnsi="sans-serif"/>
          <w:b w:val="false"/>
          <w:color w:val="000000"/>
          <w:sz w:val="22"/>
          <w:shd w:fill="FFFFFF" w:val="clear"/>
        </w:rPr>
        <w:t>FET</w:t>
      </w:r>
      <w:r>
        <w:rPr>
          <w:color w:val="000000"/>
        </w:rPr>
        <w:t xml:space="preserve"> </w:t>
      </w:r>
      <w:r>
        <w:rPr>
          <w:rFonts w:ascii="sans-serif" w:hAnsi="sans-serif"/>
          <w:b w:val="false"/>
          <w:color w:val="000000"/>
          <w:sz w:val="22"/>
        </w:rPr>
        <w:t>will host its second quarter 2026 earnings conference call at 10:00 a.m. Central Time on Friday, July 31, 2026. The call will be webcast through the Investor Relations link on FET’s website at https://ir.f-e-t.com.</w:t>
      </w:r>
    </w:p>
    <w:p>
      <w:pPr>
        <w:pStyle w:val="TextBody"/>
        <w:bidi w:val="0"/>
        <w:spacing w:lineRule="auto" w:line="288" w:before="180" w:after="283"/>
        <w:jc w:val="both"/>
        <w:rPr>
          <w:rFonts w:ascii="sans-serif" w:hAnsi="sans-serif"/>
          <w:b w:val="false"/>
          <w:color w:val="000000"/>
          <w:sz w:val="22"/>
        </w:rPr>
      </w:pPr>
      <w:r>
        <w:rPr>
          <w:rFonts w:ascii="sans-serif" w:hAnsi="sans-serif"/>
          <w:b w:val="false"/>
          <w:color w:val="000000"/>
          <w:sz w:val="22"/>
        </w:rPr>
        <w:t>Participants may also join the call by registering at:</w:t>
      </w:r>
    </w:p>
    <w:p>
      <w:pPr>
        <w:pStyle w:val="TextBody"/>
        <w:bidi w:val="0"/>
        <w:spacing w:lineRule="auto" w:line="417" w:before="180" w:after="283"/>
        <w:ind w:left="0" w:right="0" w:firstLine="720"/>
        <w:jc w:val="both"/>
        <w:rPr>
          <w:rFonts w:ascii="sans-serif" w:hAnsi="sans-serif"/>
          <w:b w:val="false"/>
          <w:color w:val="000000"/>
          <w:sz w:val="22"/>
        </w:rPr>
      </w:pPr>
      <w:r>
        <w:rPr>
          <w:rFonts w:ascii="sans-serif" w:hAnsi="sans-serif"/>
          <w:b w:val="false"/>
          <w:color w:val="000000"/>
          <w:sz w:val="22"/>
        </w:rPr>
        <w:t>https://register-conf.media-server.com/register/BI77d80ed1ed354dd8bd90f7b88c154c16</w:t>
      </w:r>
    </w:p>
    <w:p>
      <w:pPr>
        <w:pStyle w:val="TextBody"/>
        <w:bidi w:val="0"/>
        <w:spacing w:lineRule="auto" w:line="417" w:before="180" w:after="283"/>
        <w:jc w:val="both"/>
        <w:rPr>
          <w:rFonts w:ascii="sans-serif" w:hAnsi="sans-serif"/>
          <w:b w:val="false"/>
          <w:color w:val="000000"/>
          <w:sz w:val="22"/>
        </w:rPr>
      </w:pPr>
      <w:r>
        <w:rPr>
          <w:rFonts w:ascii="sans-serif" w:hAnsi="sans-serif"/>
          <w:b w:val="false"/>
          <w:color w:val="000000"/>
          <w:sz w:val="22"/>
        </w:rPr>
        <w:t>A replay of the call will be available on the Investor Relations website after the completion of the call at approximately 5:00 p.m. Central Time.</w:t>
      </w:r>
    </w:p>
    <w:p>
      <w:pPr>
        <w:pStyle w:val="TextBody"/>
        <w:bidi w:val="0"/>
        <w:spacing w:lineRule="auto" w:line="417" w:before="180" w:after="283"/>
        <w:jc w:val="both"/>
        <w:rPr/>
      </w:pPr>
      <w:r>
        <w:rPr>
          <w:rFonts w:ascii="sans-serif" w:hAnsi="sans-serif"/>
          <w:b w:val="false"/>
          <w:i/>
          <w:color w:val="000000"/>
          <w:sz w:val="22"/>
          <w:shd w:fill="FFFFFF" w:val="clear"/>
        </w:rPr>
        <w:t xml:space="preserve">FET is a global manufacturing company, serving the oil, natural gas, defense, and renewable energy industries. With headquarters located in Houston, Texas, FET provides value added solutions aimed at improving the safety, efficiency, and environmental impact of our customers' operations. </w:t>
      </w:r>
      <w:r>
        <w:rPr>
          <w:rFonts w:ascii="sans-serif" w:hAnsi="sans-serif"/>
          <w:b w:val="false"/>
          <w:i/>
          <w:color w:val="000000"/>
          <w:sz w:val="22"/>
        </w:rPr>
        <w:t xml:space="preserve">For more information, please visit </w:t>
      </w:r>
      <w:r>
        <w:rPr>
          <w:rFonts w:ascii="sans-serif" w:hAnsi="sans-serif"/>
          <w:b w:val="false"/>
          <w:i/>
          <w:color w:val="0000FF"/>
          <w:sz w:val="22"/>
          <w:u w:val="single"/>
        </w:rPr>
        <w:t>www.f-e-t.com</w:t>
      </w:r>
      <w:r>
        <w:rPr>
          <w:rFonts w:ascii="sans-serif" w:hAnsi="sans-serif"/>
          <w:b w:val="false"/>
          <w:i/>
          <w:color w:val="000000"/>
          <w:sz w:val="22"/>
        </w:rPr>
        <w:t>.</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417" w:before="120" w:after="283"/>
        <w:jc w:val="both"/>
        <w:rPr>
          <w:rFonts w:ascii="sans-serif" w:hAnsi="sans-serif"/>
          <w:b/>
          <w:color w:val="000000"/>
          <w:sz w:val="22"/>
        </w:rPr>
      </w:pPr>
      <w:r>
        <w:rPr>
          <w:rFonts w:ascii="sans-serif" w:hAnsi="sans-serif"/>
          <w:b/>
          <w:color w:val="000000"/>
          <w:sz w:val="22"/>
        </w:rPr>
        <w:t>Non-GAAP Financial Measures</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The Company presents its financial results in accordance with GAAP. However, management believes that non-GAAP measures are useful tools for evaluating the Company's overall financial performance. Not all companies define these measures in the same way. In addition, these non-GAAP financial measures are not a substitute for those prepared in accordance with GAAP and should, therefore, be considered only as a supplement. Please see the attached schedules for reconciliations between GAAP and the non-GAAP financial measures used in this press release. The company is unable to provide a reconciliation of forward-looking adjusted net income and adjusted EBITDA to GAAP net income because items that impact GAAP net income, such as restructuring charges, transaction expenses, and foreign exchange losses (gains), cannot be reasonably predicted.</w:t>
      </w:r>
    </w:p>
    <w:p>
      <w:pPr>
        <w:pStyle w:val="TextBody"/>
        <w:bidi w:val="0"/>
        <w:spacing w:lineRule="auto" w:line="417" w:before="120" w:after="283"/>
        <w:jc w:val="both"/>
        <w:rPr>
          <w:rFonts w:ascii="sans-serif" w:hAnsi="sans-serif"/>
          <w:b/>
          <w:color w:val="000000"/>
          <w:sz w:val="22"/>
        </w:rPr>
      </w:pPr>
      <w:r>
        <w:rPr>
          <w:rFonts w:ascii="sans-serif" w:hAnsi="sans-serif"/>
          <w:b/>
          <w:color w:val="000000"/>
          <w:sz w:val="22"/>
        </w:rPr>
        <w:t>Forward Looking Statements and Other Legal Disclosure</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the Company expects, believes or anticipates will or may occur in the future are forward-looking statements. Without limiting the generality of the foregoing, forward-looking statements contained in this press release specifically include the expectations of plans, strategies, objectives and anticipated financial and operating results of the Company, including any statement about the Company's outlook, future financial position, liquidity and capital resources, operations, performance, cash flow, acquisitions, returns, capital expenditure budgets, new product development activities, strategic investments, share repurchases, costs and other guidance included in this press release.</w: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These statements are based on certain assumptions made by the Company based on management's experience and perception of historical trends, current conditions, anticipated future developments and other factors believed to be appropriate. Such statements are subject to a number of assumptions, risks and uncertainties, many of which are beyond the control of the Company, which may cause actual results to differ materially from those implied or expressed by the forward-looking statements. Among other things, these include the volatility of oil and natural gas prices, oilfield development activity levels, the availability of raw materials and specialized equipment, the Company's ability to deliver backlog in a timely fashion, the availability of skilled and qualified labor, competition in the oil and natural gas industry, governmental regulation and taxation of the oil and natural gas industry, the Company's ability to implement new technologies and services, the availability and terms of capital, and uncertainties regarding environmental regulations or litigation and other legal or regulatory developments affecting the Company's business, and other important factors that could cause actual results to differ materially from those projected as described in the Company's filings with the U.S.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417" w:before="120" w:after="283"/>
        <w:jc w:val="both"/>
        <w:rPr>
          <w:rFonts w:ascii="sans-serif" w:hAnsi="sans-serif"/>
          <w:b w:val="false"/>
          <w:color w:val="000000"/>
          <w:sz w:val="22"/>
        </w:rPr>
      </w:pPr>
      <w:r>
        <w:rPr>
          <w:rFonts w:ascii="sans-serif" w:hAnsi="sans-serif"/>
          <w:b w:val="false"/>
          <w:color w:val="000000"/>
          <w:sz w:val="22"/>
        </w:rPr>
        <w:t>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pStyle w:val="TextBody"/>
        <w:bidi w:val="0"/>
        <w:spacing w:lineRule="auto" w:line="417" w:before="120" w:after="283"/>
        <w:jc w:val="both"/>
        <w:rPr>
          <w:rFonts w:ascii="sans-serif" w:hAnsi="sans-serif"/>
          <w:b/>
          <w:color w:val="000000"/>
          <w:sz w:val="22"/>
        </w:rPr>
      </w:pPr>
      <w:r>
        <w:rPr>
          <w:rFonts w:ascii="sans-serif" w:hAnsi="sans-serif"/>
          <w:b/>
          <w:color w:val="000000"/>
          <w:sz w:val="22"/>
        </w:rPr>
        <w:t>Company Contact</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Rob Kukla</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Director of Investor Relations</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281.994.3763</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rob.kukla@f-e-t.com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7"/>
        <w:gridCol w:w="1215"/>
        <w:gridCol w:w="1221"/>
        <w:gridCol w:w="162"/>
        <w:gridCol w:w="338"/>
        <w:gridCol w:w="1420"/>
        <w:gridCol w:w="162"/>
        <w:gridCol w:w="162"/>
        <w:gridCol w:w="162"/>
        <w:gridCol w:w="162"/>
        <w:gridCol w:w="338"/>
        <w:gridCol w:w="1420"/>
        <w:gridCol w:w="162"/>
        <w:gridCol w:w="162"/>
        <w:gridCol w:w="162"/>
        <w:gridCol w:w="162"/>
        <w:gridCol w:w="226"/>
        <w:gridCol w:w="946"/>
        <w:gridCol w:w="166"/>
      </w:tblGrid>
      <w:tr>
        <w:trPr/>
        <w:tc>
          <w:tcPr>
            <w:tcW w:w="145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867"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338" w:type="dxa"/>
            <w:gridSpan w:val="3"/>
            <w:tcBorders/>
          </w:tcPr>
          <w:p>
            <w:pPr>
              <w:pStyle w:val="TableContents"/>
              <w:bidi w:val="0"/>
              <w:spacing w:before="0" w:after="283"/>
              <w:jc w:val="left"/>
              <w:rPr>
                <w:sz w:val="4"/>
                <w:szCs w:val="4"/>
              </w:rPr>
            </w:pPr>
            <w:r>
              <w:rPr>
                <w:sz w:val="4"/>
                <w:szCs w:val="4"/>
              </w:rPr>
            </w:r>
          </w:p>
        </w:tc>
      </w:tr>
      <w:tr>
        <w:trPr/>
        <w:tc>
          <w:tcPr>
            <w:tcW w:w="8867" w:type="dxa"/>
            <w:gridSpan w:val="1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22"/>
              </w:rPr>
              <w:t>Condensed consolidated statements of income</w:t>
            </w:r>
          </w:p>
        </w:tc>
        <w:tc>
          <w:tcPr>
            <w:tcW w:w="1338" w:type="dxa"/>
            <w:gridSpan w:val="3"/>
            <w:tcBorders/>
          </w:tcPr>
          <w:p>
            <w:pPr>
              <w:pStyle w:val="TableContents"/>
              <w:bidi w:val="0"/>
              <w:spacing w:before="0" w:after="283"/>
              <w:jc w:val="left"/>
              <w:rPr>
                <w:sz w:val="4"/>
                <w:szCs w:val="4"/>
              </w:rPr>
            </w:pPr>
            <w:r>
              <w:rPr>
                <w:sz w:val="4"/>
                <w:szCs w:val="4"/>
              </w:rPr>
            </w:r>
          </w:p>
        </w:tc>
      </w:tr>
      <w:tr>
        <w:trPr/>
        <w:tc>
          <w:tcPr>
            <w:tcW w:w="8867"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338" w:type="dxa"/>
            <w:gridSpan w:val="3"/>
            <w:tcBorders/>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15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3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w:t>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r>
      <w:tr>
        <w:trPr/>
        <w:tc>
          <w:tcPr>
            <w:tcW w:w="3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154,865 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140,408 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71,352 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59,356 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60,991 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51,185 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50,008 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disposal of assets and other</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50,845 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44,673 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49,986 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20,507 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14,683 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11,005 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expense (income)</w:t>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losses (gains) and other, net</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4,498 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3,618 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before taxes</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16,009 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13,919 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7,387 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Net income </w:t>
            </w:r>
            <w:r>
              <w:rPr>
                <w:rFonts w:ascii="sans-serif" w:hAnsi="sans-serif"/>
                <w:b/>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12,407 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4,492 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Weighted average shares outstanding</w:t>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11,290 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12,350 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62" w:type="dxa"/>
            <w:tcBorders/>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12,554 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11,641 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Earnings per share</w:t>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7" w:type="dxa"/>
            <w:gridSpan w:val="16"/>
            <w:tcBorders/>
            <w:shd w:fill="FFFFFF" w:val="clear"/>
            <w:tcMar>
              <w:top w:w="0" w:type="dxa"/>
              <w:left w:w="0" w:type="dxa"/>
              <w:bottom w:w="0" w:type="dxa"/>
              <w:right w:w="0" w:type="dxa"/>
            </w:tcMar>
            <w:vAlign w:val="center"/>
          </w:tcPr>
          <w:p>
            <w:pPr>
              <w:pStyle w:val="TableContents"/>
              <w:bidi w:val="0"/>
              <w:spacing w:lineRule="auto" w:line="240" w:before="10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Refer to Table 1 for schedule of adjusting items.</w:t>
            </w:r>
          </w:p>
        </w:tc>
        <w:tc>
          <w:tcPr>
            <w:tcW w:w="1338"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35"/>
        <w:gridCol w:w="1317"/>
        <w:gridCol w:w="1324"/>
        <w:gridCol w:w="297"/>
        <w:gridCol w:w="618"/>
        <w:gridCol w:w="2593"/>
        <w:gridCol w:w="297"/>
        <w:gridCol w:w="297"/>
        <w:gridCol w:w="297"/>
        <w:gridCol w:w="297"/>
        <w:gridCol w:w="226"/>
        <w:gridCol w:w="946"/>
        <w:gridCol w:w="161"/>
      </w:tblGrid>
      <w:tr>
        <w:trPr/>
        <w:tc>
          <w:tcPr>
            <w:tcW w:w="153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7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333" w:type="dxa"/>
            <w:gridSpan w:val="3"/>
            <w:tcBorders/>
          </w:tcPr>
          <w:p>
            <w:pPr>
              <w:pStyle w:val="TableContents"/>
              <w:bidi w:val="0"/>
              <w:spacing w:before="0" w:after="283"/>
              <w:jc w:val="left"/>
              <w:rPr>
                <w:sz w:val="4"/>
                <w:szCs w:val="4"/>
              </w:rPr>
            </w:pPr>
            <w:r>
              <w:rPr>
                <w:sz w:val="4"/>
                <w:szCs w:val="4"/>
              </w:rPr>
            </w:r>
          </w:p>
        </w:tc>
      </w:tr>
      <w:tr>
        <w:trPr/>
        <w:tc>
          <w:tcPr>
            <w:tcW w:w="8872" w:type="dxa"/>
            <w:gridSpan w:val="10"/>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22"/>
              </w:rPr>
              <w:t>Condensed consolidated statements of income</w:t>
            </w:r>
          </w:p>
        </w:tc>
        <w:tc>
          <w:tcPr>
            <w:tcW w:w="1333" w:type="dxa"/>
            <w:gridSpan w:val="3"/>
            <w:tcBorders/>
          </w:tcPr>
          <w:p>
            <w:pPr>
              <w:pStyle w:val="TableContents"/>
              <w:bidi w:val="0"/>
              <w:spacing w:before="0" w:after="283"/>
              <w:jc w:val="left"/>
              <w:rPr>
                <w:sz w:val="4"/>
                <w:szCs w:val="4"/>
              </w:rPr>
            </w:pPr>
            <w:r>
              <w:rPr>
                <w:sz w:val="4"/>
                <w:szCs w:val="4"/>
              </w:rPr>
            </w:r>
          </w:p>
        </w:tc>
      </w:tr>
      <w:tr>
        <w:trPr/>
        <w:tc>
          <w:tcPr>
            <w:tcW w:w="8872"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333" w:type="dxa"/>
            <w:gridSpan w:val="3"/>
            <w:tcBorders/>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434,917 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393,043 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302,574 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275,326 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132,343 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117,717 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expenses</w:t>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100,268 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100,568 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disposal of assets and other</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(6,573)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100,831 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94,230 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31,512 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23,487 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expense (income)</w:t>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 gains and other, net</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8,116 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4,679 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Income before taxes</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23,396 </w:t>
            </w:r>
          </w:p>
        </w:tc>
        <w:tc>
          <w:tcPr>
            <w:tcW w:w="2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18,808 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Net income </w:t>
            </w:r>
            <w:r>
              <w:rPr>
                <w:rFonts w:ascii="sans-serif" w:hAnsi="sans-serif"/>
                <w:b/>
                <w:color w:val="000000"/>
                <w:sz w:val="13"/>
              </w:rPr>
              <w:t>(1)</w:t>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16,899 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8,822 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Weighted average shares outstanding</w:t>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11,252 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97" w:type="dxa"/>
            <w:tcBorders/>
            <w:vAlign w:val="center"/>
          </w:tcPr>
          <w:p>
            <w:pPr>
              <w:pStyle w:val="TableContents"/>
              <w:bidi w:val="0"/>
              <w:spacing w:before="0" w:after="283"/>
              <w:jc w:val="left"/>
              <w:rPr>
                <w:sz w:val="4"/>
                <w:szCs w:val="4"/>
              </w:rPr>
            </w:pPr>
            <w:r>
              <w:rPr>
                <w:sz w:val="4"/>
                <w:szCs w:val="4"/>
              </w:rPr>
            </w:r>
          </w:p>
        </w:tc>
        <w:tc>
          <w:tcPr>
            <w:tcW w:w="3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Earnings per share</w:t>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2" w:type="dxa"/>
            <w:gridSpan w:val="10"/>
            <w:tcBorders/>
            <w:tcMar>
              <w:top w:w="0" w:type="dxa"/>
              <w:left w:w="0" w:type="dxa"/>
              <w:bottom w:w="0" w:type="dxa"/>
              <w:right w:w="0" w:type="dxa"/>
            </w:tcMar>
            <w:vAlign w:val="center"/>
          </w:tcPr>
          <w:p>
            <w:pPr>
              <w:pStyle w:val="TableContents"/>
              <w:bidi w:val="0"/>
              <w:spacing w:lineRule="auto" w:line="240" w:before="10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Refer to Table 2 for schedule of adjusting items.</w:t>
            </w:r>
          </w:p>
        </w:tc>
        <w:tc>
          <w:tcPr>
            <w:tcW w:w="1333"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28"/>
        <w:gridCol w:w="1767"/>
        <w:gridCol w:w="1780"/>
        <w:gridCol w:w="356"/>
        <w:gridCol w:w="1493"/>
        <w:gridCol w:w="171"/>
        <w:gridCol w:w="171"/>
        <w:gridCol w:w="171"/>
        <w:gridCol w:w="171"/>
        <w:gridCol w:w="356"/>
        <w:gridCol w:w="1493"/>
        <w:gridCol w:w="248"/>
      </w:tblGrid>
      <w:tr>
        <w:trPr/>
        <w:tc>
          <w:tcPr>
            <w:tcW w:w="202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5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2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34,661 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receivable—trade, net</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173,963 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142,396 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 net</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233,473 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239,420 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assets</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42,370 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32,407 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483,522 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448,884 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 of accumulated depreciation</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47,962 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51,905 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assets</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80,798 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80,733 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and other intangible assets, net</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144,605 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158,304 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12,629 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3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770,710 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752,455 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equity</w:t>
            </w:r>
          </w:p>
        </w:tc>
        <w:tc>
          <w:tcPr>
            <w:tcW w:w="2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219,288 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205,127 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220,561 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206,534 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142,435 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134,521 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117,932 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120,257 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w:t>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480,928 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461,312 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equity</w:t>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289,782 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291,143 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 and equity</w:t>
            </w:r>
          </w:p>
        </w:tc>
        <w:tc>
          <w:tcPr>
            <w:tcW w:w="3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770,710 </w:t>
            </w:r>
          </w:p>
        </w:tc>
        <w:tc>
          <w:tcPr>
            <w:tcW w:w="1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752,455 </w:t>
            </w:r>
          </w:p>
        </w:tc>
        <w:tc>
          <w:tcPr>
            <w:tcW w:w="2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94"/>
        <w:gridCol w:w="1548"/>
        <w:gridCol w:w="1557"/>
        <w:gridCol w:w="275"/>
        <w:gridCol w:w="571"/>
        <w:gridCol w:w="2089"/>
        <w:gridCol w:w="275"/>
        <w:gridCol w:w="275"/>
        <w:gridCol w:w="275"/>
        <w:gridCol w:w="275"/>
        <w:gridCol w:w="228"/>
        <w:gridCol w:w="786"/>
        <w:gridCol w:w="157"/>
      </w:tblGrid>
      <w:tr>
        <w:trPr/>
        <w:tc>
          <w:tcPr>
            <w:tcW w:w="189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3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171" w:type="dxa"/>
            <w:gridSpan w:val="3"/>
            <w:tcBorders/>
          </w:tcPr>
          <w:p>
            <w:pPr>
              <w:pStyle w:val="TableContents"/>
              <w:bidi w:val="0"/>
              <w:spacing w:before="0" w:after="283"/>
              <w:jc w:val="left"/>
              <w:rPr>
                <w:sz w:val="4"/>
                <w:szCs w:val="4"/>
              </w:rPr>
            </w:pPr>
            <w:r>
              <w:rPr>
                <w:sz w:val="4"/>
                <w:szCs w:val="4"/>
              </w:rPr>
            </w:r>
          </w:p>
        </w:tc>
      </w:tr>
      <w:tr>
        <w:trPr/>
        <w:tc>
          <w:tcPr>
            <w:tcW w:w="903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Condensed consolidated cash flow information</w:t>
            </w:r>
          </w:p>
        </w:tc>
        <w:tc>
          <w:tcPr>
            <w:tcW w:w="1171" w:type="dxa"/>
            <w:gridSpan w:val="3"/>
            <w:tcBorders/>
          </w:tcPr>
          <w:p>
            <w:pPr>
              <w:pStyle w:val="TableContents"/>
              <w:bidi w:val="0"/>
              <w:spacing w:before="0" w:after="283"/>
              <w:jc w:val="left"/>
              <w:rPr>
                <w:sz w:val="4"/>
                <w:szCs w:val="4"/>
              </w:rPr>
            </w:pPr>
            <w:r>
              <w:rPr>
                <w:sz w:val="4"/>
                <w:szCs w:val="4"/>
              </w:rPr>
            </w:r>
          </w:p>
        </w:tc>
      </w:tr>
      <w:tr>
        <w:trPr/>
        <w:tc>
          <w:tcPr>
            <w:tcW w:w="903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171" w:type="dxa"/>
            <w:gridSpan w:val="3"/>
            <w:tcBorders/>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75" w:type="dxa"/>
            <w:tcBorders/>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8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15,334 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18,051 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write-down</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noncash items and changes in working capital</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(24,074)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operating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14,056 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25,099 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(3,189)</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(used in) investing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(3,030)</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5,024 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Borrowings of debt</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265,195 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271,326 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debt</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(258,266)</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(300,092)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stock</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(7,567)</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 of withheld taxes on stock-based compensation plans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financing costs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used in financing activities</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(11,571)</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(37,296)</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exchange rate changes on cash</w:t>
            </w:r>
          </w:p>
        </w:tc>
        <w:tc>
          <w:tcPr>
            <w:tcW w:w="275" w:type="dxa"/>
            <w:tcBorders/>
            <w:vAlign w:val="center"/>
          </w:tcPr>
          <w:p>
            <w:pPr>
              <w:pStyle w:val="TableContents"/>
              <w:bidi w:val="0"/>
              <w:spacing w:before="0" w:after="283"/>
              <w:jc w:val="left"/>
              <w:rPr>
                <w:sz w:val="4"/>
                <w:szCs w:val="4"/>
              </w:rPr>
            </w:pPr>
            <w:r>
              <w:rPr>
                <w:sz w:val="4"/>
                <w:szCs w:val="4"/>
              </w:rPr>
            </w:r>
          </w:p>
        </w:tc>
        <w:tc>
          <w:tcPr>
            <w:tcW w:w="2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decrease in cash and cash equivalents</w:t>
            </w:r>
          </w:p>
        </w:tc>
        <w:tc>
          <w:tcPr>
            <w:tcW w:w="275"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(945)</w:t>
            </w:r>
          </w:p>
        </w:tc>
        <w:tc>
          <w:tcPr>
            <w:tcW w:w="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(5,694)</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2106" w:type="dxa"/>
        <w:jc w:val="center"/>
        <w:tblInd w:w="0" w:type="dxa"/>
        <w:tblLayout w:type="fixed"/>
        <w:tblCellMar>
          <w:top w:w="28" w:type="dxa"/>
          <w:left w:w="28" w:type="dxa"/>
          <w:bottom w:w="28" w:type="dxa"/>
          <w:right w:w="28" w:type="dxa"/>
        </w:tblCellMar>
      </w:tblPr>
      <w:tblGrid>
        <w:gridCol w:w="633"/>
        <w:gridCol w:w="358"/>
        <w:gridCol w:w="360"/>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54"/>
      </w:tblGrid>
      <w:tr>
        <w:trPr/>
        <w:tc>
          <w:tcPr>
            <w:tcW w:w="63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Supplemental schedule - Segment information</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As Adjusted </w:t>
            </w:r>
            <w:r>
              <w:rPr>
                <w:rFonts w:ascii="sans-serif" w:hAnsi="sans-serif"/>
                <w:b/>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82,098 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82,098 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10,081 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10,391 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16,449 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18.7 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18.8 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(9,510)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(9,299)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21,092 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8,171 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10,983 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21,531 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9,642 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12,619 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Other items not in segment operating income </w:t>
            </w:r>
            <w:r>
              <w:rPr>
                <w:rFonts w:ascii="sans-serif" w:hAnsi="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14,683 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9,624 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9.1 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7.4 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4.8 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6.0 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w:t>
            </w:r>
            <w:r>
              <w:rPr>
                <w:rFonts w:ascii="sans-serif" w:hAnsi="sans-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14,674 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12,170 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16,494 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16,619 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23.8 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27.4 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19.4 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24.8 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20.2 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20.2 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(7,578)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EBITDA</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27,813 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27,700 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19,330 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31,730 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22,886 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13.9 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14.0 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11.0 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40"/>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Includes transaction expenses, gain on sale-leaseback transaction, and gain (loss) on disposal of assets and other.</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2"/>
              </w:rPr>
              <w:t>(2)</w:t>
            </w:r>
            <w:r>
              <w:rPr>
                <w:color w:val="000000"/>
              </w:rPr>
              <w:t xml:space="preserve"> </w:t>
            </w:r>
            <w:r>
              <w:rPr>
                <w:rFonts w:ascii="sans-serif" w:hAnsi="sans-serif"/>
                <w:b w:val="false"/>
                <w:color w:val="000000"/>
                <w:sz w:val="18"/>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385" w:type="dxa"/>
            <w:gridSpan w:val="34"/>
            <w:tcBorders/>
            <w:tcMar>
              <w:top w:w="0" w:type="dxa"/>
              <w:left w:w="0" w:type="dxa"/>
              <w:bottom w:w="0" w:type="dxa"/>
              <w:right w:w="0" w:type="dxa"/>
            </w:tcMar>
            <w:vAlign w:val="center"/>
          </w:tcPr>
          <w:p>
            <w:pPr>
              <w:pStyle w:val="TableContents"/>
              <w:bidi w:val="0"/>
              <w:spacing w:lineRule="auto" w:line="240" w:before="0" w:after="40"/>
              <w:jc w:val="left"/>
              <w:rPr/>
            </w:pPr>
            <w:r>
              <w:rPr>
                <w:rFonts w:ascii="sans-serif" w:hAnsi="sans-serif"/>
                <w:b w:val="false"/>
                <w:color w:val="000000"/>
                <w:sz w:val="12"/>
              </w:rPr>
              <w:t>(3)</w:t>
            </w:r>
            <w:r>
              <w:rPr>
                <w:color w:val="000000"/>
              </w:rPr>
              <w:t xml:space="preserve"> </w:t>
            </w:r>
            <w:r>
              <w:rPr>
                <w:rFonts w:ascii="sans-serif" w:hAnsi="sans-serif"/>
                <w:b w:val="false"/>
                <w:color w:val="000000"/>
                <w:sz w:val="18"/>
              </w:rPr>
              <w:t>Refer to Table 1 for schedule of adjusting items.</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9188" w:type="dxa"/>
            <w:gridSpan w:val="3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55"/>
        <w:gridCol w:w="648"/>
        <w:gridCol w:w="653"/>
        <w:gridCol w:w="127"/>
        <w:gridCol w:w="266"/>
        <w:gridCol w:w="1117"/>
        <w:gridCol w:w="337"/>
        <w:gridCol w:w="127"/>
        <w:gridCol w:w="127"/>
        <w:gridCol w:w="127"/>
        <w:gridCol w:w="266"/>
        <w:gridCol w:w="1117"/>
        <w:gridCol w:w="337"/>
        <w:gridCol w:w="127"/>
        <w:gridCol w:w="127"/>
        <w:gridCol w:w="127"/>
        <w:gridCol w:w="266"/>
        <w:gridCol w:w="1117"/>
        <w:gridCol w:w="337"/>
        <w:gridCol w:w="127"/>
        <w:gridCol w:w="127"/>
        <w:gridCol w:w="127"/>
        <w:gridCol w:w="227"/>
        <w:gridCol w:w="950"/>
        <w:gridCol w:w="342"/>
      </w:tblGrid>
      <w:tr>
        <w:trPr/>
        <w:tc>
          <w:tcPr>
            <w:tcW w:w="95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519" w:type="dxa"/>
            <w:gridSpan w:val="3"/>
            <w:tcBorders/>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Supplemental schedule - Segment information</w:t>
            </w:r>
          </w:p>
        </w:tc>
        <w:tc>
          <w:tcPr>
            <w:tcW w:w="1519" w:type="dxa"/>
            <w:gridSpan w:val="3"/>
            <w:tcBorders/>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519" w:type="dxa"/>
            <w:gridSpan w:val="3"/>
            <w:tcBorders/>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Reported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As Adjusted </w:t>
            </w:r>
            <w:r>
              <w:rPr>
                <w:rFonts w:ascii="sans-serif" w:hAnsi="sans-serif"/>
                <w:b/>
                <w:color w:val="000000"/>
                <w:sz w:val="13"/>
              </w:rPr>
              <w:t>(3)</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r>
      <w:tr>
        <w:trPr/>
        <w:tc>
          <w:tcPr>
            <w:tcW w:w="2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Drilling and Completions</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265,743 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232,806 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265,743 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232,806 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169,520 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160,343 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169,520 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160,343 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434,917 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393,043 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434,917 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393,043 </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income (loss)</w:t>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Drilling and Completions</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22,624 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16,650 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18,209 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8.5 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7.2 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9.2 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7.8 </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27,934 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17,991 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16.5 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11.0 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16.5 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11.2 </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(18,483)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(17,189)</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(18,301)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(16,869)</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segment operating income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32,075 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17,149 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34,150 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19,331 </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Other items not in segment operating income</w:t>
            </w:r>
            <w:r>
              <w:rPr>
                <w:rFonts w:ascii="sans-serif" w:hAnsi="sans-serif"/>
                <w:b w:val="false"/>
                <w:color w:val="000000"/>
                <w:sz w:val="13"/>
              </w:rPr>
              <w:t>(1)</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6,338 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operating income</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31,512 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23,487 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33,663 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19,190 </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7.2 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6.0 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7.7 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4.9 </w:t>
            </w:r>
          </w:p>
        </w:tc>
        <w:tc>
          <w:tcPr>
            <w:tcW w:w="34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w:t>
            </w:r>
            <w:r>
              <w:rPr>
                <w:rFonts w:ascii="sans-serif" w:hAnsi="sans-serif"/>
                <w:b/>
                <w:color w:val="000000"/>
                <w:sz w:val="13"/>
              </w:rPr>
              <w:t>(2)</w:t>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Drilling and Completions</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27,103 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27,978 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29,301 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23,821 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10.2 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12.0 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11.0 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10.2 </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36,766 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35,351 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38,278 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30,179 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21.7 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22.0 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22.6 </w:t>
            </w:r>
          </w:p>
        </w:tc>
        <w:tc>
          <w:tcPr>
            <w:tcW w:w="33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18.8 </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Corporate</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(16,781)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(12,963)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(13,421)</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EBITDA</w:t>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47,143 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46,548 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54,616 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40,579 </w:t>
            </w:r>
          </w:p>
        </w:tc>
        <w:tc>
          <w:tcPr>
            <w:tcW w:w="3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EBITDA Margin %</w:t>
            </w:r>
          </w:p>
        </w:tc>
        <w:tc>
          <w:tcPr>
            <w:tcW w:w="127" w:type="dxa"/>
            <w:tcBorders/>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10.8 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11.8 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12.6 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10.3 </w:t>
            </w:r>
          </w:p>
        </w:tc>
        <w:tc>
          <w:tcPr>
            <w:tcW w:w="34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Includes transaction expenses, gain on sale-leaseback transaction, and gain (loss) on disposal of assets and other.</w:t>
            </w:r>
          </w:p>
        </w:tc>
        <w:tc>
          <w:tcPr>
            <w:tcW w:w="1519" w:type="dxa"/>
            <w:gridSpan w:val="3"/>
            <w:tcBorders/>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2"/>
              </w:rPr>
              <w:t>(2)</w:t>
            </w:r>
            <w:r>
              <w:rPr>
                <w:color w:val="000000"/>
              </w:rPr>
              <w:t xml:space="preserve"> </w:t>
            </w:r>
            <w:r>
              <w:rPr>
                <w:rFonts w:ascii="sans-serif" w:hAnsi="sans-serif"/>
                <w:b w:val="false"/>
                <w:color w:val="000000"/>
                <w:sz w:val="18"/>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tc>
        <w:tc>
          <w:tcPr>
            <w:tcW w:w="1519" w:type="dxa"/>
            <w:gridSpan w:val="3"/>
            <w:tcBorders/>
          </w:tcPr>
          <w:p>
            <w:pPr>
              <w:pStyle w:val="TableContents"/>
              <w:bidi w:val="0"/>
              <w:spacing w:before="0" w:after="283"/>
              <w:jc w:val="left"/>
              <w:rPr>
                <w:sz w:val="4"/>
                <w:szCs w:val="4"/>
              </w:rPr>
            </w:pPr>
            <w:r>
              <w:rPr>
                <w:sz w:val="4"/>
                <w:szCs w:val="4"/>
              </w:rPr>
            </w:r>
          </w:p>
        </w:tc>
      </w:tr>
      <w:tr>
        <w:trPr/>
        <w:tc>
          <w:tcPr>
            <w:tcW w:w="8686" w:type="dxa"/>
            <w:gridSpan w:val="22"/>
            <w:tcBorders/>
            <w:tcMar>
              <w:top w:w="0" w:type="dxa"/>
              <w:left w:w="0" w:type="dxa"/>
              <w:bottom w:w="0" w:type="dxa"/>
              <w:right w:w="0" w:type="dxa"/>
            </w:tcMar>
            <w:vAlign w:val="center"/>
          </w:tcPr>
          <w:p>
            <w:pPr>
              <w:pStyle w:val="TableContents"/>
              <w:bidi w:val="0"/>
              <w:spacing w:lineRule="auto" w:line="240" w:before="40" w:after="283"/>
              <w:jc w:val="left"/>
              <w:rPr/>
            </w:pPr>
            <w:r>
              <w:rPr>
                <w:rFonts w:ascii="sans-serif" w:hAnsi="sans-serif"/>
                <w:b w:val="false"/>
                <w:color w:val="000000"/>
                <w:sz w:val="12"/>
              </w:rPr>
              <w:t>(3)</w:t>
            </w:r>
            <w:r>
              <w:rPr>
                <w:color w:val="000000"/>
              </w:rPr>
              <w:t xml:space="preserve"> </w:t>
            </w:r>
            <w:r>
              <w:rPr>
                <w:rFonts w:ascii="sans-serif" w:hAnsi="sans-serif"/>
                <w:b w:val="false"/>
                <w:color w:val="000000"/>
                <w:sz w:val="18"/>
              </w:rPr>
              <w:t>Refer to Table 2 for schedule of adjusting items.</w:t>
            </w:r>
          </w:p>
        </w:tc>
        <w:tc>
          <w:tcPr>
            <w:tcW w:w="1519"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4"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52"/>
        <w:gridCol w:w="825"/>
        <w:gridCol w:w="831"/>
        <w:gridCol w:w="197"/>
        <w:gridCol w:w="409"/>
        <w:gridCol w:w="1718"/>
        <w:gridCol w:w="197"/>
        <w:gridCol w:w="197"/>
        <w:gridCol w:w="197"/>
        <w:gridCol w:w="197"/>
        <w:gridCol w:w="409"/>
        <w:gridCol w:w="1718"/>
        <w:gridCol w:w="197"/>
        <w:gridCol w:w="197"/>
        <w:gridCol w:w="197"/>
        <w:gridCol w:w="197"/>
        <w:gridCol w:w="231"/>
        <w:gridCol w:w="969"/>
        <w:gridCol w:w="170"/>
      </w:tblGrid>
      <w:tr>
        <w:trPr/>
        <w:tc>
          <w:tcPr>
            <w:tcW w:w="11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3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370" w:type="dxa"/>
            <w:gridSpan w:val="3"/>
            <w:tcBorders/>
          </w:tcPr>
          <w:p>
            <w:pPr>
              <w:pStyle w:val="TableContents"/>
              <w:bidi w:val="0"/>
              <w:spacing w:before="0" w:after="283"/>
              <w:jc w:val="left"/>
              <w:rPr>
                <w:sz w:val="4"/>
                <w:szCs w:val="4"/>
              </w:rPr>
            </w:pPr>
            <w:r>
              <w:rPr>
                <w:sz w:val="4"/>
                <w:szCs w:val="4"/>
              </w:rPr>
            </w:r>
          </w:p>
        </w:tc>
      </w:tr>
      <w:tr>
        <w:trPr/>
        <w:tc>
          <w:tcPr>
            <w:tcW w:w="883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Supplemental schedule - Orders information</w:t>
            </w:r>
          </w:p>
        </w:tc>
        <w:tc>
          <w:tcPr>
            <w:tcW w:w="1370" w:type="dxa"/>
            <w:gridSpan w:val="3"/>
            <w:tcBorders/>
          </w:tcPr>
          <w:p>
            <w:pPr>
              <w:pStyle w:val="TableContents"/>
              <w:bidi w:val="0"/>
              <w:spacing w:before="0" w:after="283"/>
              <w:jc w:val="left"/>
              <w:rPr>
                <w:sz w:val="4"/>
                <w:szCs w:val="4"/>
              </w:rPr>
            </w:pPr>
            <w:r>
              <w:rPr>
                <w:sz w:val="4"/>
                <w:szCs w:val="4"/>
              </w:rPr>
            </w:r>
          </w:p>
        </w:tc>
      </w:tr>
      <w:tr>
        <w:trPr/>
        <w:tc>
          <w:tcPr>
            <w:tcW w:w="8835"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370" w:type="dxa"/>
            <w:gridSpan w:val="3"/>
            <w:tcBorders/>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0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r>
      <w:tr>
        <w:trPr/>
        <w:tc>
          <w:tcPr>
            <w:tcW w:w="2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Orders</w:t>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144,308 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177,792 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135,458 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91,631 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85,338 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85,710 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Total orders </w:t>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235,939 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263,130 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221,168 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126,739 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87,422 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82,547 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82,098 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Total revenue </w:t>
            </w:r>
          </w:p>
        </w:tc>
        <w:tc>
          <w:tcPr>
            <w:tcW w:w="197"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Book to bill ratio </w:t>
            </w:r>
            <w:r>
              <w:rPr>
                <w:rFonts w:ascii="sans-serif" w:hAnsi="sans-serif"/>
                <w:b/>
                <w:color w:val="000000"/>
                <w:sz w:val="13"/>
              </w:rPr>
              <w:t>(1)</w:t>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book to bill ratio</w:t>
            </w:r>
          </w:p>
        </w:tc>
        <w:tc>
          <w:tcPr>
            <w:tcW w:w="197" w:type="dxa"/>
            <w:tcBorders/>
            <w:vAlign w:val="center"/>
          </w:tcPr>
          <w:p>
            <w:pPr>
              <w:pStyle w:val="TableContents"/>
              <w:bidi w:val="0"/>
              <w:spacing w:before="0" w:after="283"/>
              <w:jc w:val="left"/>
              <w:rPr>
                <w:sz w:val="4"/>
                <w:szCs w:val="4"/>
              </w:rPr>
            </w:pPr>
            <w:r>
              <w:rPr>
                <w:sz w:val="4"/>
                <w:szCs w:val="4"/>
              </w:rPr>
            </w:r>
          </w:p>
        </w:tc>
        <w:tc>
          <w:tcPr>
            <w:tcW w:w="21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5" w:type="dxa"/>
            <w:gridSpan w:val="16"/>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book-to-bill ratio is calculated by dividing the dollar value of orders received in a given period by the revenue earned in that same period. The Company believes that this ratio is useful to investors because it provides an indication of whether the demand for our products is strengthening or declining. A ratio of greater than one is indicative of improving market demand, while a ratio of less than one would suggest weakening demand. In addition, the Company believes the book-to-bill ratio provides more meaningful insight into future revenues for our business than other measures, such as order backlog, because the majority of our products are activity based consumable items or shorter cycle capital equipment, neither of which are typically ordered by customers far in advance.</w:t>
            </w:r>
          </w:p>
        </w:tc>
        <w:tc>
          <w:tcPr>
            <w:tcW w:w="1370" w:type="dxa"/>
            <w:gridSpan w:val="3"/>
            <w:tcBorders/>
          </w:tcPr>
          <w:p>
            <w:pPr>
              <w:pStyle w:val="TableContents"/>
              <w:bidi w:val="0"/>
              <w:spacing w:before="0" w:after="283"/>
              <w:jc w:val="left"/>
              <w:rPr>
                <w:sz w:val="4"/>
                <w:szCs w:val="4"/>
              </w:rPr>
            </w:pPr>
            <w:r>
              <w:rPr>
                <w:sz w:val="4"/>
                <w:szCs w:val="4"/>
              </w:rPr>
            </w:r>
          </w:p>
        </w:tc>
      </w:tr>
      <w:tr>
        <w:trPr/>
        <w:tc>
          <w:tcPr>
            <w:tcW w:w="2808" w:type="dxa"/>
            <w:gridSpan w:val="3"/>
            <w:tcBorders/>
            <w:vAlign w:val="center"/>
          </w:tcPr>
          <w:p>
            <w:pPr>
              <w:pStyle w:val="TableContents"/>
              <w:bidi w:val="0"/>
              <w:spacing w:before="0" w:after="283"/>
              <w:jc w:val="left"/>
              <w:rPr>
                <w:sz w:val="4"/>
                <w:szCs w:val="4"/>
              </w:rPr>
            </w:pPr>
            <w:r>
              <w:rPr>
                <w:sz w:val="4"/>
                <w:szCs w:val="4"/>
              </w:rPr>
            </w:r>
          </w:p>
        </w:tc>
        <w:tc>
          <w:tcPr>
            <w:tcW w:w="7397" w:type="dxa"/>
            <w:gridSpan w:val="1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6705"/>
                <wp:effectExtent l="0" t="0" r="0" b="0"/>
                <wp:wrapNone/>
                <wp:docPr id="15" name="Frame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tbl>
      <w:tblPr>
        <w:tblW w:w="15574" w:type="dxa"/>
        <w:jc w:val="center"/>
        <w:tblInd w:w="0" w:type="dxa"/>
        <w:tblLayout w:type="fixed"/>
        <w:tblCellMar>
          <w:top w:w="28" w:type="dxa"/>
          <w:left w:w="28" w:type="dxa"/>
          <w:bottom w:w="28" w:type="dxa"/>
          <w:right w:w="28" w:type="dxa"/>
        </w:tblCellMar>
      </w:tblPr>
      <w:tblGrid>
        <w:gridCol w:w="667"/>
        <w:gridCol w:w="349"/>
        <w:gridCol w:w="350"/>
        <w:gridCol w:w="226"/>
        <w:gridCol w:w="826"/>
        <w:gridCol w:w="256"/>
        <w:gridCol w:w="109"/>
        <w:gridCol w:w="109"/>
        <w:gridCol w:w="109"/>
        <w:gridCol w:w="226"/>
        <w:gridCol w:w="826"/>
        <w:gridCol w:w="256"/>
        <w:gridCol w:w="109"/>
        <w:gridCol w:w="109"/>
        <w:gridCol w:w="109"/>
        <w:gridCol w:w="226"/>
        <w:gridCol w:w="826"/>
        <w:gridCol w:w="256"/>
        <w:gridCol w:w="109"/>
        <w:gridCol w:w="109"/>
        <w:gridCol w:w="109"/>
        <w:gridCol w:w="226"/>
        <w:gridCol w:w="826"/>
        <w:gridCol w:w="256"/>
        <w:gridCol w:w="109"/>
        <w:gridCol w:w="109"/>
        <w:gridCol w:w="109"/>
        <w:gridCol w:w="226"/>
        <w:gridCol w:w="826"/>
        <w:gridCol w:w="256"/>
        <w:gridCol w:w="109"/>
        <w:gridCol w:w="109"/>
        <w:gridCol w:w="109"/>
        <w:gridCol w:w="226"/>
        <w:gridCol w:w="721"/>
        <w:gridCol w:w="256"/>
        <w:gridCol w:w="109"/>
        <w:gridCol w:w="109"/>
        <w:gridCol w:w="109"/>
        <w:gridCol w:w="226"/>
        <w:gridCol w:w="826"/>
        <w:gridCol w:w="256"/>
        <w:gridCol w:w="109"/>
        <w:gridCol w:w="109"/>
        <w:gridCol w:w="109"/>
        <w:gridCol w:w="226"/>
        <w:gridCol w:w="826"/>
        <w:gridCol w:w="256"/>
        <w:gridCol w:w="109"/>
        <w:gridCol w:w="109"/>
        <w:gridCol w:w="109"/>
        <w:gridCol w:w="226"/>
        <w:gridCol w:w="706"/>
        <w:gridCol w:w="301"/>
      </w:tblGrid>
      <w:tr>
        <w:trPr/>
        <w:tc>
          <w:tcPr>
            <w:tcW w:w="6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1 - Adjusting items</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8"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8"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March 31, 2026</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(in thousands, except per share information)</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4"/>
              </w:rPr>
              <w:t xml:space="preserve">EBITDA </w:t>
            </w:r>
            <w:r>
              <w:rPr>
                <w:rFonts w:ascii="sans-serif" w:hAnsi="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4"/>
              </w:rPr>
              <w:t xml:space="preserve">EBITDA </w:t>
            </w:r>
            <w:r>
              <w:rPr>
                <w:rFonts w:ascii="sans-serif" w:hAnsi="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4"/>
              </w:rPr>
              <w:t xml:space="preserve">EBITDA </w:t>
            </w:r>
            <w:r>
              <w:rPr>
                <w:rFonts w:ascii="sans-serif" w:hAnsi="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Net income (loss)</w:t>
            </w:r>
          </w:p>
        </w:tc>
      </w:tr>
      <w:tr>
        <w:trPr/>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As reported</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20,507</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27,813</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12,407</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14,683</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27,700</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7,700</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11,005</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19,330</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4,492</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 of revenue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9.1 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12.3 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5.5 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7.4 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13.9 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3.9 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9.3 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2.2 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Restructuring and other costs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Transaction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Inventory and other assets impairment adjustments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Gain on sale-leaseback transactions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6"/>
              </w:rPr>
              <w:t>Foreign exchange losses (gains) and other, net</w:t>
            </w:r>
            <w:r>
              <w:rPr>
                <w:color w:val="000000"/>
              </w:rPr>
              <w:t xml:space="preserve"> </w:t>
            </w:r>
            <w:r>
              <w:rPr>
                <w:rFonts w:ascii="sans-serif" w:hAnsi="sans-serif"/>
                <w:b w:val="false"/>
                <w:color w:val="000000"/>
                <w:sz w:val="10"/>
              </w:rPr>
              <w:t>(2)</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(514)</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6"/>
              </w:rPr>
              <w:t xml:space="preserve">As adjusted </w:t>
            </w:r>
            <w:r>
              <w:rPr>
                <w:rFonts w:ascii="sans-serif" w:hAnsi="sans-serif"/>
                <w:b/>
                <w:color w:val="000000"/>
                <w:sz w:val="10"/>
              </w:rPr>
              <w:t>(1)</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21,108</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31,730</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13,708</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9,624</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20,521</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(1,228)</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12,555</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22,886</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5,528</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 of revenue</w:t>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9.3 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14.0 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6.1 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4.8 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10.3 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6.0 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11.0 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2.6 </w:t>
            </w:r>
          </w:p>
        </w:tc>
        <w:tc>
          <w:tcPr>
            <w:tcW w:w="30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6"/>
              </w:rPr>
            </w:pPr>
            <w:r>
              <w:rPr>
                <w:rFonts w:ascii="sans-serif" w:hAnsi="sans-serif"/>
                <w:b w:val="false"/>
                <w:i/>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shares outstanding as reported</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11,641 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shares outstanding as adjusted</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11,641 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EPS - as reported</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Diluted EPS - as adjusted</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0.47 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that the presentation of EBITDA, adjusted EBITDA, adjusted operating loss, adjusted net loss and adjusted diluted EPS are useful to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p>
            <w:pPr>
              <w:pStyle w:val="TableContents"/>
              <w:bidi w:val="0"/>
              <w:spacing w:before="0" w:after="0"/>
              <w:jc w:val="both"/>
              <w:rPr/>
            </w:pPr>
            <w:r>
              <w:rPr/>
            </w:r>
          </w:p>
        </w:tc>
      </w:tr>
      <w:tr>
        <w:trPr/>
        <w:tc>
          <w:tcPr>
            <w:tcW w:w="15574" w:type="dxa"/>
            <w:gridSpan w:val="54"/>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2"/>
              </w:rPr>
              <w:t>(2)</w:t>
            </w:r>
            <w:r>
              <w:rPr>
                <w:color w:val="000000"/>
              </w:rPr>
              <w:t xml:space="preserve"> </w:t>
            </w:r>
            <w:r>
              <w:rPr>
                <w:rFonts w:ascii="sans-serif" w:hAnsi="sans-serif"/>
                <w:b w:val="false"/>
                <w:color w:val="000000"/>
                <w:sz w:val="18"/>
              </w:rPr>
              <w:t>Foreign exchange, net primarily relates to cash and receivables denominated in U.S. dollars by some of our non-U.S. subsidiaries that report in a local currency, and therefore the loss (gain) has no economic impact in dollar terms.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6705"/>
                <wp:effectExtent l="0" t="0" r="0" b="0"/>
                <wp:wrapNone/>
                <wp:docPr id="16" name="Frame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center"/>
        <w:rPr/>
      </w:pPr>
      <w:r>
        <w:rPr/>
      </w:r>
    </w:p>
    <w:tbl>
      <w:tblPr>
        <w:tblW w:w="11794" w:type="dxa"/>
        <w:jc w:val="center"/>
        <w:tblInd w:w="0" w:type="dxa"/>
        <w:tblLayout w:type="fixed"/>
        <w:tblCellMar>
          <w:top w:w="28" w:type="dxa"/>
          <w:left w:w="28" w:type="dxa"/>
          <w:bottom w:w="28" w:type="dxa"/>
          <w:right w:w="28" w:type="dxa"/>
        </w:tblCellMar>
      </w:tblPr>
      <w:tblGrid>
        <w:gridCol w:w="787"/>
        <w:gridCol w:w="401"/>
        <w:gridCol w:w="403"/>
        <w:gridCol w:w="241"/>
        <w:gridCol w:w="916"/>
        <w:gridCol w:w="286"/>
        <w:gridCol w:w="109"/>
        <w:gridCol w:w="109"/>
        <w:gridCol w:w="109"/>
        <w:gridCol w:w="241"/>
        <w:gridCol w:w="916"/>
        <w:gridCol w:w="286"/>
        <w:gridCol w:w="109"/>
        <w:gridCol w:w="109"/>
        <w:gridCol w:w="109"/>
        <w:gridCol w:w="241"/>
        <w:gridCol w:w="916"/>
        <w:gridCol w:w="286"/>
        <w:gridCol w:w="109"/>
        <w:gridCol w:w="109"/>
        <w:gridCol w:w="109"/>
        <w:gridCol w:w="241"/>
        <w:gridCol w:w="916"/>
        <w:gridCol w:w="286"/>
        <w:gridCol w:w="109"/>
        <w:gridCol w:w="109"/>
        <w:gridCol w:w="109"/>
        <w:gridCol w:w="241"/>
        <w:gridCol w:w="916"/>
        <w:gridCol w:w="286"/>
        <w:gridCol w:w="109"/>
        <w:gridCol w:w="109"/>
        <w:gridCol w:w="109"/>
        <w:gridCol w:w="241"/>
        <w:gridCol w:w="781"/>
        <w:gridCol w:w="331"/>
      </w:tblGrid>
      <w:tr>
        <w:trPr/>
        <w:tc>
          <w:tcPr>
            <w:tcW w:w="78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2 - Adjusting items</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3"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except per share information)</w:t>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EBITDA </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EBITDA </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income (loss)</w:t>
            </w:r>
          </w:p>
        </w:tc>
      </w:tr>
      <w:tr>
        <w:trPr/>
        <w:tc>
          <w:tcPr>
            <w:tcW w:w="1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31,512</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47,143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16,899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23,487</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46,548</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8,822</w:t>
            </w:r>
            <w:r>
              <w:rPr>
                <w:color w:val="000000"/>
              </w:rPr>
              <w:t> </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of revenue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6.0 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11.8 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2.2 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other costs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Transaction expenses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 and other assets impairment adjustments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sale-leaseback transactions</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(6,903)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Foreign exchange losses (gains) and other, net</w:t>
            </w:r>
            <w:r>
              <w:rPr>
                <w:color w:val="000000"/>
              </w:rPr>
              <w:t xml:space="preserve"> </w:t>
            </w:r>
            <w:r>
              <w:rPr>
                <w:rFonts w:ascii="sans-serif" w:hAnsi="sans-serif"/>
                <w:b w:val="false"/>
                <w:color w:val="000000"/>
                <w:sz w:val="13"/>
              </w:rPr>
              <w:t>(2)</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As adjusted </w:t>
            </w:r>
            <w:r>
              <w:rPr>
                <w:rFonts w:ascii="sans-serif" w:hAnsi="sans-serif"/>
                <w:b/>
                <w:color w:val="000000"/>
                <w:sz w:val="13"/>
              </w:rPr>
              <w:t>(1)</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33,663</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54,616</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19,236</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19,190</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40,579</w:t>
            </w: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(714)</w:t>
            </w:r>
          </w:p>
        </w:tc>
        <w:tc>
          <w:tcPr>
            <w:tcW w:w="3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of revenue</w:t>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7.7 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12.6 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4.4 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4.9 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10.3 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shares outstanding as reported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12,542 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shares outstanding as adjusted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12,542 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 as reported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 as adjusted</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that the presentation of EBITDA, adjusted EBITDA, adjusted operating loss, adjusted net loss and adjusted diluted EPS are useful to investors because (i) they assist with assessing and understanding operating performance, especially when comparing those results with previous and subsequent periods or forecasting performance for future periods, primarily because management views the excluded items to be outside of the Company's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tc>
      </w:tr>
      <w:tr>
        <w:trPr/>
        <w:tc>
          <w:tcPr>
            <w:tcW w:w="11794"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4" w:type="dxa"/>
            <w:gridSpan w:val="36"/>
            <w:tcBorders/>
            <w:tcMar>
              <w:top w:w="0" w:type="dxa"/>
              <w:left w:w="0" w:type="dxa"/>
              <w:bottom w:w="0" w:type="dxa"/>
              <w:right w:w="0" w:type="dxa"/>
            </w:tcMar>
            <w:vAlign w:val="center"/>
          </w:tcPr>
          <w:p>
            <w:pPr>
              <w:pStyle w:val="TableContents"/>
              <w:bidi w:val="0"/>
              <w:spacing w:lineRule="auto" w:line="240" w:before="40" w:after="283"/>
              <w:jc w:val="both"/>
              <w:rPr/>
            </w:pPr>
            <w:r>
              <w:rPr>
                <w:rFonts w:ascii="sans-serif" w:hAnsi="sans-serif"/>
                <w:b w:val="false"/>
                <w:color w:val="000000"/>
                <w:sz w:val="12"/>
              </w:rPr>
              <w:t>(2)</w:t>
            </w:r>
            <w:r>
              <w:rPr>
                <w:color w:val="000000"/>
              </w:rPr>
              <w:t xml:space="preserve"> </w:t>
            </w:r>
            <w:r>
              <w:rPr>
                <w:rFonts w:ascii="sans-serif" w:hAnsi="sans-serif"/>
                <w:b w:val="false"/>
                <w:color w:val="000000"/>
                <w:sz w:val="18"/>
              </w:rPr>
              <w:t>Foreign exchange, net primarily relates to cash and receivables denominated in U.S. dollars by some of our non-U.S. subsidiaries that report in a local currency, and therefore the loss (gain) has no economic impact in dollar terms.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6705"/>
                <wp:effectExtent l="0" t="0" r="0" b="0"/>
                <wp:wrapNone/>
                <wp:docPr id="17" name="Frame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2"/>
        <w:gridCol w:w="821"/>
        <w:gridCol w:w="826"/>
        <w:gridCol w:w="389"/>
        <w:gridCol w:w="1426"/>
        <w:gridCol w:w="187"/>
        <w:gridCol w:w="187"/>
        <w:gridCol w:w="187"/>
        <w:gridCol w:w="187"/>
        <w:gridCol w:w="389"/>
        <w:gridCol w:w="1426"/>
        <w:gridCol w:w="187"/>
        <w:gridCol w:w="187"/>
        <w:gridCol w:w="187"/>
        <w:gridCol w:w="187"/>
        <w:gridCol w:w="389"/>
        <w:gridCol w:w="1426"/>
        <w:gridCol w:w="275"/>
      </w:tblGrid>
      <w:tr>
        <w:trPr/>
        <w:tc>
          <w:tcPr>
            <w:tcW w:w="134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3 - Adjusting Items</w:t>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2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r>
      <w:tr>
        <w:trPr/>
        <w:tc>
          <w:tcPr>
            <w:tcW w:w="2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reconciliation </w:t>
            </w:r>
            <w:r>
              <w:rPr>
                <w:rFonts w:ascii="sans-serif" w:hAnsi="sans-serif"/>
                <w:b/>
                <w:color w:val="000000"/>
                <w:sz w:val="13"/>
              </w:rPr>
              <w:t>(1)</w:t>
            </w:r>
          </w:p>
        </w:tc>
        <w:tc>
          <w:tcPr>
            <w:tcW w:w="2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12,407 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4,492 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7,802 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6,219 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EBITDA</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27,813 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27,700 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19,330 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adjusted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adjusted EBITDA is a widely used benchmark in the investment community.</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4"/>
        <w:gridCol w:w="969"/>
        <w:gridCol w:w="975"/>
        <w:gridCol w:w="567"/>
        <w:gridCol w:w="2075"/>
        <w:gridCol w:w="273"/>
        <w:gridCol w:w="273"/>
        <w:gridCol w:w="273"/>
        <w:gridCol w:w="273"/>
        <w:gridCol w:w="567"/>
        <w:gridCol w:w="2075"/>
        <w:gridCol w:w="391"/>
      </w:tblGrid>
      <w:tr>
        <w:trPr/>
        <w:tc>
          <w:tcPr>
            <w:tcW w:w="149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2915" w:type="dxa"/>
            <w:gridSpan w:val="3"/>
            <w:tcBorders/>
            <w:vAlign w:val="center"/>
          </w:tcPr>
          <w:p>
            <w:pPr>
              <w:pStyle w:val="TableContents"/>
              <w:bidi w:val="0"/>
              <w:spacing w:before="0" w:after="283"/>
              <w:jc w:val="left"/>
              <w:rPr>
                <w:sz w:val="4"/>
                <w:szCs w:val="4"/>
              </w:rPr>
            </w:pPr>
            <w:r>
              <w:rPr>
                <w:sz w:val="4"/>
                <w:szCs w:val="4"/>
              </w:rPr>
            </w:r>
          </w:p>
        </w:tc>
        <w:tc>
          <w:tcPr>
            <w:tcW w:w="3852"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4 - Adjusting Items</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2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r>
      <w:tr>
        <w:trPr/>
        <w:tc>
          <w:tcPr>
            <w:tcW w:w="3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EBITDA reconciliation </w:t>
            </w:r>
            <w:r>
              <w:rPr>
                <w:rFonts w:ascii="sans-serif" w:hAnsi="sans-serif"/>
                <w:b/>
                <w:color w:val="000000"/>
                <w:sz w:val="13"/>
              </w:rPr>
              <w:t>(1)</w:t>
            </w:r>
          </w:p>
        </w:tc>
        <w:tc>
          <w:tcPr>
            <w:tcW w:w="2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56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7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8,822 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9,689 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15,334 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18,051 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6,497 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9,986 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color w:val="000000"/>
                <w:sz w:val="20"/>
              </w:rPr>
              <w:t>EBITDA</w:t>
            </w:r>
          </w:p>
        </w:tc>
        <w:tc>
          <w:tcPr>
            <w:tcW w:w="5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47,143 </w:t>
            </w:r>
          </w:p>
        </w:tc>
        <w:tc>
          <w:tcPr>
            <w:tcW w:w="2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46,548 </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adjusted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adjusted EBITDA is a widely used benchmark in the investment community.</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18" name="Frame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65"/>
        <w:gridCol w:w="1233"/>
        <w:gridCol w:w="1241"/>
        <w:gridCol w:w="336"/>
        <w:gridCol w:w="1232"/>
        <w:gridCol w:w="162"/>
        <w:gridCol w:w="162"/>
        <w:gridCol w:w="162"/>
        <w:gridCol w:w="162"/>
        <w:gridCol w:w="336"/>
        <w:gridCol w:w="1232"/>
        <w:gridCol w:w="162"/>
        <w:gridCol w:w="162"/>
        <w:gridCol w:w="162"/>
        <w:gridCol w:w="162"/>
        <w:gridCol w:w="338"/>
        <w:gridCol w:w="1061"/>
        <w:gridCol w:w="235"/>
      </w:tblGrid>
      <w:tr>
        <w:trPr/>
        <w:tc>
          <w:tcPr>
            <w:tcW w:w="166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850" w:type="dxa"/>
            <w:gridSpan w:val="9"/>
            <w:tcBorders/>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850" w:type="dxa"/>
            <w:gridSpan w:val="9"/>
            <w:tcBorders/>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850" w:type="dxa"/>
            <w:gridSpan w:val="9"/>
            <w:tcBorders/>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2120" w:type="dxa"/>
            <w:gridSpan w:val="6"/>
            <w:tcBorders/>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5 - Adjusting items</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r>
      <w:tr>
        <w:trPr/>
        <w:tc>
          <w:tcPr>
            <w:tcW w:w="4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Free cash flow, before acquisitions, reconciliation </w:t>
            </w:r>
            <w:r>
              <w:rPr>
                <w:rFonts w:ascii="sans-serif" w:hAnsi="sans-serif"/>
                <w:b/>
                <w:color w:val="000000"/>
                <w:sz w:val="13"/>
              </w:rPr>
              <w:t>(1)</w:t>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12,429 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15,773 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1,627 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before acquisitions</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9,652 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22,893 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1,374 </w:t>
            </w:r>
          </w:p>
        </w:tc>
        <w:tc>
          <w:tcPr>
            <w:tcW w:w="2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free cash flow, before acquisitions is an important measure because it encompasses both profitability and capital management in evaluating results.</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66"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12"/>
        <w:gridCol w:w="1388"/>
        <w:gridCol w:w="1397"/>
        <w:gridCol w:w="470"/>
        <w:gridCol w:w="1720"/>
        <w:gridCol w:w="226"/>
        <w:gridCol w:w="226"/>
        <w:gridCol w:w="226"/>
        <w:gridCol w:w="226"/>
        <w:gridCol w:w="470"/>
        <w:gridCol w:w="1720"/>
        <w:gridCol w:w="324"/>
      </w:tblGrid>
      <w:tr>
        <w:trPr/>
        <w:tc>
          <w:tcPr>
            <w:tcW w:w="181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5608" w:type="dxa"/>
            <w:gridSpan w:val="9"/>
            <w:tcBorders/>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5608" w:type="dxa"/>
            <w:gridSpan w:val="9"/>
            <w:tcBorders/>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5608" w:type="dxa"/>
            <w:gridSpan w:val="9"/>
            <w:tcBorders/>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2416" w:type="dxa"/>
            <w:gridSpan w:val="3"/>
            <w:tcBorders/>
            <w:vAlign w:val="center"/>
          </w:tcPr>
          <w:p>
            <w:pPr>
              <w:pStyle w:val="TableContents"/>
              <w:bidi w:val="0"/>
              <w:spacing w:before="0" w:after="283"/>
              <w:jc w:val="left"/>
              <w:rPr>
                <w:sz w:val="4"/>
                <w:szCs w:val="4"/>
              </w:rPr>
            </w:pPr>
            <w:r>
              <w:rPr>
                <w:sz w:val="4"/>
                <w:szCs w:val="4"/>
              </w:rPr>
            </w:r>
          </w:p>
        </w:tc>
        <w:tc>
          <w:tcPr>
            <w:tcW w:w="3192"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Reconciliation of GAAP to non-GAAP financial information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6 - Adjusting items</w:t>
            </w:r>
          </w:p>
        </w:tc>
      </w:tr>
      <w:tr>
        <w:trPr/>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2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r>
      <w:tr>
        <w:trPr/>
        <w:tc>
          <w:tcPr>
            <w:tcW w:w="4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 xml:space="preserve">Free cash flow, before acquisitions, reconciliation </w:t>
            </w:r>
            <w:r>
              <w:rPr>
                <w:rFonts w:ascii="sans-serif" w:hAnsi="sans-serif"/>
                <w:b/>
                <w:color w:val="000000"/>
                <w:sz w:val="13"/>
              </w:rPr>
              <w:t>(1)</w:t>
            </w:r>
          </w:p>
        </w:tc>
        <w:tc>
          <w:tcPr>
            <w:tcW w:w="2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25,099 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 for property and equipment</w:t>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(3,061)</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property and equipment</w:t>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sale-leaseback transactions</w:t>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8,028 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before acquisitions</w:t>
            </w:r>
          </w:p>
        </w:tc>
        <w:tc>
          <w:tcPr>
            <w:tcW w:w="4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11,026 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30,123 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free cash flow, before acquisitions is an important measure because it encompasses both profitability and capital management in evaluating results.</w:t>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560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6705"/>
                <wp:effectExtent l="0" t="0" r="0" b="0"/>
                <wp:wrapNone/>
                <wp:docPr id="19" name="Frame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8"/>
        <w:gridCol w:w="1077"/>
        <w:gridCol w:w="1084"/>
        <w:gridCol w:w="301"/>
        <w:gridCol w:w="1267"/>
        <w:gridCol w:w="145"/>
        <w:gridCol w:w="125"/>
        <w:gridCol w:w="125"/>
        <w:gridCol w:w="125"/>
        <w:gridCol w:w="326"/>
        <w:gridCol w:w="1369"/>
        <w:gridCol w:w="157"/>
        <w:gridCol w:w="125"/>
        <w:gridCol w:w="125"/>
        <w:gridCol w:w="125"/>
        <w:gridCol w:w="382"/>
        <w:gridCol w:w="1605"/>
        <w:gridCol w:w="184"/>
        <w:gridCol w:w="109"/>
        <w:gridCol w:w="161"/>
      </w:tblGrid>
      <w:tr>
        <w:trPr/>
        <w:tc>
          <w:tcPr>
            <w:tcW w:w="128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756" w:type="dxa"/>
            <w:gridSpan w:val="17"/>
            <w:tcBorders/>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756" w:type="dxa"/>
            <w:gridSpan w:val="17"/>
            <w:tcBorders/>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756" w:type="dxa"/>
            <w:gridSpan w:val="17"/>
            <w:tcBorders/>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5043" w:type="dxa"/>
            <w:gridSpan w:val="14"/>
            <w:tcBorders/>
          </w:tcPr>
          <w:p>
            <w:pPr>
              <w:pStyle w:val="TableContents"/>
              <w:bidi w:val="0"/>
              <w:spacing w:before="0" w:after="283"/>
              <w:jc w:val="left"/>
              <w:rPr>
                <w:sz w:val="4"/>
                <w:szCs w:val="4"/>
              </w:rPr>
            </w:pPr>
            <w:r>
              <w:rPr>
                <w:sz w:val="4"/>
                <w:szCs w:val="4"/>
              </w:rPr>
            </w:r>
          </w:p>
        </w:tc>
      </w:tr>
      <w:tr>
        <w:trPr/>
        <w:tc>
          <w:tcPr>
            <w:tcW w:w="993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8"/>
            <w:tcBorders/>
            <w:tcMar>
              <w:top w:w="0" w:type="dxa"/>
              <w:left w:w="0" w:type="dxa"/>
              <w:bottom w:w="0" w:type="dxa"/>
              <w:right w:w="0" w:type="dxa"/>
            </w:tcMar>
            <w:vAlign w:val="center"/>
          </w:tcPr>
          <w:p>
            <w:pPr>
              <w:pStyle w:val="TableContents"/>
              <w:bidi w:val="0"/>
              <w:spacing w:lineRule="auto" w:line="240" w:before="0" w:after="40"/>
              <w:jc w:val="center"/>
              <w:rPr/>
            </w:pPr>
            <w:r>
              <w:rPr>
                <w:rFonts w:ascii="sans-serif" w:hAnsi="sans-serif"/>
                <w:b/>
                <w:color w:val="000000"/>
                <w:sz w:val="22"/>
              </w:rPr>
              <w:t xml:space="preserve">Table 7 - Net Leverage Ratio </w:t>
            </w:r>
            <w:r>
              <w:rPr>
                <w:rFonts w:ascii="sans-serif" w:hAnsi="sans-serif"/>
                <w:b/>
                <w:color w:val="000000"/>
                <w:sz w:val="14"/>
              </w:rPr>
              <w:t>(1)</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 Bonds</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8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Facility</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37,282 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debt</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principal amount</w:t>
            </w:r>
          </w:p>
        </w:tc>
        <w:tc>
          <w:tcPr>
            <w:tcW w:w="1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148,505 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158,804 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141,290 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Cash and cash equivalents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debt</w:t>
            </w:r>
          </w:p>
        </w:tc>
        <w:tc>
          <w:tcPr>
            <w:tcW w:w="1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114,789 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121,316 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106,629 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Trailing Twelve Months Adjusted EBITDA</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100,440 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89,230 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86,403 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leverage ratio</w:t>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8"/>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Company believes net leverage ratio is an important measure because it represents the Company's ability to meet its financial obligations.</w:t>
            </w:r>
          </w:p>
        </w:tc>
        <w:tc>
          <w:tcPr>
            <w:tcW w:w="270"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532"/>
        <w:gridCol w:w="466"/>
        <w:gridCol w:w="469"/>
        <w:gridCol w:w="255"/>
        <w:gridCol w:w="1068"/>
        <w:gridCol w:w="122"/>
        <w:gridCol w:w="118"/>
        <w:gridCol w:w="118"/>
        <w:gridCol w:w="118"/>
        <w:gridCol w:w="255"/>
        <w:gridCol w:w="1068"/>
        <w:gridCol w:w="122"/>
        <w:gridCol w:w="118"/>
        <w:gridCol w:w="118"/>
        <w:gridCol w:w="118"/>
        <w:gridCol w:w="260"/>
        <w:gridCol w:w="1089"/>
        <w:gridCol w:w="125"/>
        <w:gridCol w:w="118"/>
        <w:gridCol w:w="118"/>
        <w:gridCol w:w="118"/>
        <w:gridCol w:w="255"/>
        <w:gridCol w:w="1068"/>
        <w:gridCol w:w="122"/>
        <w:gridCol w:w="118"/>
        <w:gridCol w:w="118"/>
        <w:gridCol w:w="118"/>
        <w:gridCol w:w="254"/>
        <w:gridCol w:w="1067"/>
        <w:gridCol w:w="192"/>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312" w:type="dxa"/>
            <w:gridSpan w:val="9"/>
            <w:tcBorders/>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312" w:type="dxa"/>
            <w:gridSpan w:val="9"/>
            <w:tcBorders/>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312" w:type="dxa"/>
            <w:gridSpan w:val="9"/>
            <w:tcBorders/>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867" w:type="dxa"/>
            <w:gridSpan w:val="6"/>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Table 8 - Revenue Per Rig</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r>
      <w:tr>
        <w:trPr/>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434,917 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393,043 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Average global rig count </w:t>
            </w:r>
            <w:r>
              <w:rPr>
                <w:rFonts w:ascii="sans-serif" w:hAnsi="sans-serif"/>
                <w:b w:val="false"/>
                <w:color w:val="000000"/>
                <w:sz w:val="13"/>
              </w:rPr>
              <w:t>(1)</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 per rig</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40"/>
              <w:jc w:val="both"/>
              <w:rPr/>
            </w:pPr>
            <w:r>
              <w:rPr>
                <w:rFonts w:ascii="sans-serif" w:hAnsi="sans-serif"/>
                <w:b w:val="false"/>
                <w:color w:val="000000"/>
                <w:sz w:val="12"/>
              </w:rPr>
              <w:t>(1)</w:t>
            </w:r>
            <w:r>
              <w:rPr>
                <w:color w:val="000000"/>
              </w:rPr>
              <w:t xml:space="preserve"> </w:t>
            </w:r>
            <w:r>
              <w:rPr>
                <w:rFonts w:ascii="sans-serif" w:hAnsi="sans-serif"/>
                <w:b w:val="false"/>
                <w:color w:val="000000"/>
                <w:sz w:val="18"/>
              </w:rPr>
              <w:t>The table above shows the average number of active drilling rigs operating based on the weekly rig count information published by Baker Hughes Company. In the third quarter of 2025, Baker Hughes implemented a revised methodology for counting rigs, primarily affecting data pertaining to Saudi Arabia. Baker Hughes only adjusted data back January 2024.</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6705"/>
                <wp:effectExtent l="0" t="0" r="0" b="0"/>
                <wp:wrapNone/>
                <wp:docPr id="20" name="Frame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56"/>
        <w:gridCol w:w="793"/>
        <w:gridCol w:w="798"/>
        <w:gridCol w:w="109"/>
        <w:gridCol w:w="226"/>
        <w:gridCol w:w="949"/>
        <w:gridCol w:w="109"/>
        <w:gridCol w:w="353"/>
        <w:gridCol w:w="353"/>
        <w:gridCol w:w="286"/>
        <w:gridCol w:w="109"/>
        <w:gridCol w:w="109"/>
        <w:gridCol w:w="109"/>
        <w:gridCol w:w="226"/>
        <w:gridCol w:w="949"/>
        <w:gridCol w:w="109"/>
        <w:gridCol w:w="353"/>
        <w:gridCol w:w="353"/>
        <w:gridCol w:w="286"/>
        <w:gridCol w:w="109"/>
        <w:gridCol w:w="109"/>
        <w:gridCol w:w="109"/>
        <w:gridCol w:w="229"/>
        <w:gridCol w:w="959"/>
        <w:gridCol w:w="109"/>
        <w:gridCol w:w="353"/>
        <w:gridCol w:w="353"/>
        <w:gridCol w:w="340"/>
      </w:tblGrid>
      <w:tr>
        <w:trPr/>
        <w:tc>
          <w:tcPr>
            <w:tcW w:w="9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915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Forum Energy Technologies, Inc.</w:t>
            </w:r>
          </w:p>
        </w:tc>
        <w:tc>
          <w:tcPr>
            <w:tcW w:w="1046" w:type="dxa"/>
            <w:gridSpan w:val="3"/>
            <w:tcBorders/>
          </w:tcPr>
          <w:p>
            <w:pPr>
              <w:pStyle w:val="TableContents"/>
              <w:bidi w:val="0"/>
              <w:spacing w:before="0" w:after="283"/>
              <w:jc w:val="left"/>
              <w:rPr>
                <w:sz w:val="4"/>
                <w:szCs w:val="4"/>
              </w:rPr>
            </w:pPr>
            <w:r>
              <w:rPr>
                <w:sz w:val="4"/>
                <w:szCs w:val="4"/>
              </w:rPr>
            </w:r>
          </w:p>
        </w:tc>
      </w:tr>
      <w:tr>
        <w:trPr/>
        <w:tc>
          <w:tcPr>
            <w:tcW w:w="915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Supplemental schedule - Product line revenue</w:t>
            </w:r>
          </w:p>
        </w:tc>
        <w:tc>
          <w:tcPr>
            <w:tcW w:w="1046" w:type="dxa"/>
            <w:gridSpan w:val="3"/>
            <w:tcBorders/>
          </w:tcPr>
          <w:p>
            <w:pPr>
              <w:pStyle w:val="TableContents"/>
              <w:bidi w:val="0"/>
              <w:spacing w:before="0" w:after="283"/>
              <w:jc w:val="left"/>
              <w:rPr>
                <w:sz w:val="4"/>
                <w:szCs w:val="4"/>
              </w:rPr>
            </w:pPr>
            <w:r>
              <w:rPr>
                <w:sz w:val="4"/>
                <w:szCs w:val="4"/>
              </w:rPr>
            </w:r>
          </w:p>
        </w:tc>
      </w:tr>
      <w:tr>
        <w:trPr/>
        <w:tc>
          <w:tcPr>
            <w:tcW w:w="915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(Unaudited)</w:t>
            </w:r>
          </w:p>
        </w:tc>
        <w:tc>
          <w:tcPr>
            <w:tcW w:w="1046" w:type="dxa"/>
            <w:gridSpan w:val="3"/>
            <w:tcBorders/>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(in 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227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31, 2026</w:t>
            </w:r>
          </w:p>
        </w:tc>
      </w:tr>
      <w:tr>
        <w:trPr/>
        <w:tc>
          <w:tcPr>
            <w:tcW w:w="2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Subsea</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Stimulation and Intervention</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Coiled Tubing</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Drilling and Completions</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117,237 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60.7 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Downhole</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Production Equipment</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Valve Solutions</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Artificial Lift and Downhole</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226,217 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8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8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208,700 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4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6705"/>
                <wp:effectExtent l="0" t="0" r="0" b="0"/>
                <wp:wrapNone/>
                <wp:docPr id="21" name="Frame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5181</Words>
  <Characters>28534</Characters>
  <CharactersWithSpaces>32810</CharactersWithSpaces>
  <Paragraphs>1580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