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3</w:t>
      </w:r>
    </w:p>
    <w:p>
      <w:pPr>
        <w:spacing w:after="0" w:line="9" w:lineRule="exact"/>
        <w:rPr>
          <w:sz w:val="24"/>
          <w:szCs w:val="24"/>
          <w:color w:val="auto"/>
        </w:rPr>
      </w:pPr>
    </w:p>
    <w:tbl>
      <w:tblPr>
        <w:tblLayout w:type="fixed"/>
        <w:tblInd w:w="620" w:type="dxa"/>
        <w:tblCellMar>
          <w:top w:w="0" w:type="dxa"/>
          <w:left w:w="0" w:type="dxa"/>
          <w:bottom w:w="0" w:type="dxa"/>
          <w:right w:w="0" w:type="dxa"/>
        </w:tblCellMar>
      </w:tblPr>
      <w:tr>
        <w:trPr>
          <w:trHeight w:val="287"/>
        </w:trPr>
        <w:tc>
          <w:tcPr>
            <w:tcW w:w="1660" w:type="dxa"/>
            <w:vAlign w:val="bottom"/>
          </w:tcPr>
          <w:p>
            <w:pPr>
              <w:spacing w:after="0"/>
              <w:rPr>
                <w:sz w:val="20"/>
                <w:szCs w:val="20"/>
                <w:color w:val="auto"/>
              </w:rPr>
            </w:pPr>
            <w:r>
              <w:rPr>
                <w:rFonts w:ascii="Arial" w:cs="Arial" w:eastAsia="Arial" w:hAnsi="Arial"/>
                <w:sz w:val="25"/>
                <w:szCs w:val="25"/>
                <w:b w:val="1"/>
                <w:bCs w:val="1"/>
                <w:color w:val="auto"/>
              </w:rPr>
              <w:t>FORM 3</w:t>
            </w:r>
          </w:p>
        </w:tc>
        <w:tc>
          <w:tcPr>
            <w:tcW w:w="6540" w:type="dxa"/>
            <w:vAlign w:val="bottom"/>
          </w:tcPr>
          <w:p>
            <w:pPr>
              <w:jc w:val="center"/>
              <w:ind w:right="43"/>
              <w:spacing w:after="0"/>
              <w:rPr>
                <w:sz w:val="20"/>
                <w:szCs w:val="20"/>
                <w:color w:val="auto"/>
              </w:rPr>
            </w:pPr>
            <w:r>
              <w:rPr>
                <w:rFonts w:ascii="Arial" w:cs="Arial" w:eastAsia="Arial" w:hAnsi="Arial"/>
                <w:sz w:val="22"/>
                <w:szCs w:val="22"/>
                <w:b w:val="1"/>
                <w:bCs w:val="1"/>
                <w:color w:val="auto"/>
              </w:rPr>
              <w:t>UNITED STATES SECURITIES AND EXCHANGE</w:t>
            </w: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660" w:type="dxa"/>
            <w:vAlign w:val="bottom"/>
          </w:tcPr>
          <w:p>
            <w:pPr>
              <w:spacing w:after="0"/>
              <w:rPr>
                <w:sz w:val="2"/>
                <w:szCs w:val="2"/>
                <w:color w:val="auto"/>
              </w:rPr>
            </w:pPr>
          </w:p>
        </w:tc>
        <w:tc>
          <w:tcPr>
            <w:tcW w:w="6540" w:type="dxa"/>
            <w:vAlign w:val="bottom"/>
            <w:vMerge w:val="restart"/>
          </w:tcPr>
          <w:p>
            <w:pPr>
              <w:jc w:val="center"/>
              <w:ind w:right="63"/>
              <w:spacing w:after="0"/>
              <w:rPr>
                <w:sz w:val="20"/>
                <w:szCs w:val="20"/>
                <w:color w:val="auto"/>
              </w:rPr>
            </w:pPr>
            <w:r>
              <w:rPr>
                <w:rFonts w:ascii="Arial" w:cs="Arial" w:eastAsia="Arial" w:hAnsi="Arial"/>
                <w:sz w:val="22"/>
                <w:szCs w:val="22"/>
                <w:b w:val="1"/>
                <w:bCs w:val="1"/>
                <w:color w:val="auto"/>
              </w:rPr>
              <w:t>COMMISSION</w:t>
            </w:r>
          </w:p>
        </w:tc>
        <w:tc>
          <w:tcPr>
            <w:tcW w:w="40" w:type="dxa"/>
            <w:vAlign w:val="bottom"/>
            <w:tcBorders>
              <w:bottom w:val="single" w:sz="8" w:color="808080"/>
            </w:tcBorders>
          </w:tcPr>
          <w:p>
            <w:pPr>
              <w:spacing w:after="0"/>
              <w:rPr>
                <w:sz w:val="2"/>
                <w:szCs w:val="2"/>
                <w:color w:val="auto"/>
              </w:rPr>
            </w:pPr>
          </w:p>
        </w:tc>
        <w:tc>
          <w:tcPr>
            <w:tcW w:w="200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660" w:type="dxa"/>
            <w:vAlign w:val="bottom"/>
          </w:tcPr>
          <w:p>
            <w:pPr>
              <w:spacing w:after="0"/>
              <w:rPr>
                <w:sz w:val="16"/>
                <w:szCs w:val="16"/>
                <w:color w:val="auto"/>
              </w:rPr>
            </w:pPr>
          </w:p>
        </w:tc>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2"/>
          </w:tcPr>
          <w:p>
            <w:pPr>
              <w:jc w:val="center"/>
              <w:ind w:right="60"/>
              <w:spacing w:after="0" w:line="188" w:lineRule="exact"/>
              <w:rPr>
                <w:sz w:val="20"/>
                <w:szCs w:val="20"/>
                <w:color w:val="auto"/>
              </w:rPr>
            </w:pPr>
            <w:r>
              <w:rPr>
                <w:rFonts w:ascii="Arial" w:cs="Arial" w:eastAsia="Arial" w:hAnsi="Arial"/>
                <w:sz w:val="18"/>
                <w:szCs w:val="18"/>
                <w:color w:val="auto"/>
                <w:w w:val="99"/>
              </w:rPr>
              <w:t>OMB APPROVAL</w:t>
            </w:r>
          </w:p>
        </w:tc>
        <w:tc>
          <w:tcPr>
            <w:tcW w:w="0" w:type="dxa"/>
            <w:vAlign w:val="bottom"/>
          </w:tcPr>
          <w:p>
            <w:pPr>
              <w:spacing w:after="0"/>
              <w:rPr>
                <w:sz w:val="1"/>
                <w:szCs w:val="1"/>
                <w:color w:val="auto"/>
              </w:rPr>
            </w:pPr>
          </w:p>
        </w:tc>
      </w:tr>
      <w:tr>
        <w:trPr>
          <w:trHeight w:val="42"/>
        </w:trPr>
        <w:tc>
          <w:tcPr>
            <w:tcW w:w="1660" w:type="dxa"/>
            <w:vAlign w:val="bottom"/>
          </w:tcPr>
          <w:p>
            <w:pPr>
              <w:spacing w:after="0"/>
              <w:rPr>
                <w:sz w:val="3"/>
                <w:szCs w:val="3"/>
                <w:color w:val="auto"/>
              </w:rPr>
            </w:pPr>
          </w:p>
        </w:tc>
        <w:tc>
          <w:tcPr>
            <w:tcW w:w="6540" w:type="dxa"/>
            <w:vAlign w:val="bottom"/>
            <w:vMerge w:val="restart"/>
          </w:tcPr>
          <w:p>
            <w:pPr>
              <w:jc w:val="center"/>
              <w:ind w:right="43"/>
              <w:spacing w:after="0"/>
              <w:rPr>
                <w:sz w:val="20"/>
                <w:szCs w:val="20"/>
                <w:color w:val="auto"/>
              </w:rPr>
            </w:pPr>
            <w:r>
              <w:rPr>
                <w:rFonts w:ascii="Arial" w:cs="Arial" w:eastAsia="Arial" w:hAnsi="Arial"/>
                <w:sz w:val="14"/>
                <w:szCs w:val="14"/>
                <w:color w:val="auto"/>
                <w:w w:val="99"/>
              </w:rPr>
              <w:t>Washington, D.C. 20549</w:t>
            </w:r>
          </w:p>
        </w:tc>
        <w:tc>
          <w:tcPr>
            <w:tcW w:w="40" w:type="dxa"/>
            <w:vAlign w:val="bottom"/>
          </w:tcPr>
          <w:p>
            <w:pPr>
              <w:spacing w:after="0"/>
              <w:rPr>
                <w:sz w:val="3"/>
                <w:szCs w:val="3"/>
                <w:color w:val="auto"/>
              </w:rPr>
            </w:pPr>
          </w:p>
        </w:tc>
        <w:tc>
          <w:tcPr>
            <w:tcW w:w="2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5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1660" w:type="dxa"/>
            <w:vAlign w:val="bottom"/>
          </w:tcPr>
          <w:p>
            <w:pPr>
              <w:spacing w:after="0"/>
              <w:rPr>
                <w:sz w:val="5"/>
                <w:szCs w:val="5"/>
                <w:color w:val="auto"/>
              </w:rPr>
            </w:pPr>
          </w:p>
        </w:tc>
        <w:tc>
          <w:tcPr>
            <w:tcW w:w="6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rPr>
              <w:t>OMB Number:3235-0104</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-348615</wp:posOffset>
            </wp:positionV>
            <wp:extent cx="1313815" cy="661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3815" cy="661670"/>
                    </a:xfrm>
                    <a:prstGeom prst="rect">
                      <a:avLst/>
                    </a:prstGeom>
                    <a:noFill/>
                  </pic:spPr>
                </pic:pic>
              </a:graphicData>
            </a:graphic>
          </wp:anchor>
        </w:drawing>
      </w:r>
    </w:p>
    <w:p>
      <w:pPr>
        <w:sectPr>
          <w:pgSz w:w="11900" w:h="16838" w:orient="portrait"/>
          <w:cols w:equalWidth="0" w:num="1">
            <w:col w:w="10940"/>
          </w:cols>
          <w:pgMar w:left="480" w:top="229" w:right="479" w:bottom="1440" w:gutter="0" w:footer="0" w:header="0"/>
        </w:sectPr>
      </w:pPr>
    </w:p>
    <w:p>
      <w:pPr>
        <w:spacing w:after="0" w:line="68" w:lineRule="exact"/>
        <w:rPr>
          <w:sz w:val="24"/>
          <w:szCs w:val="24"/>
          <w:color w:val="auto"/>
        </w:rPr>
      </w:pPr>
    </w:p>
    <w:p>
      <w:pPr>
        <w:jc w:val="center"/>
        <w:ind w:left="262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25" w:lineRule="exact"/>
        <w:rPr>
          <w:sz w:val="24"/>
          <w:szCs w:val="24"/>
          <w:color w:val="auto"/>
        </w:rPr>
      </w:pPr>
    </w:p>
    <w:p>
      <w:pPr>
        <w:jc w:val="center"/>
        <w:ind w:left="2620"/>
        <w:spacing w:after="0"/>
        <w:rPr>
          <w:sz w:val="20"/>
          <w:szCs w:val="20"/>
          <w:color w:val="auto"/>
        </w:rPr>
      </w:pPr>
      <w:r>
        <w:rPr>
          <w:rFonts w:ascii="Arial" w:cs="Arial" w:eastAsia="Arial" w:hAnsi="Arial"/>
          <w:sz w:val="22"/>
          <w:szCs w:val="22"/>
          <w:b w:val="1"/>
          <w:bCs w:val="1"/>
          <w:color w:val="auto"/>
        </w:rPr>
        <w:t>SECURITIES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20"/>
                <w:szCs w:val="20"/>
                <w:color w:val="auto"/>
              </w:rPr>
            </w:pPr>
            <w:r>
              <w:rPr>
                <w:rFonts w:ascii="Arial" w:cs="Arial" w:eastAsia="Arial" w:hAnsi="Arial"/>
                <w:sz w:val="12"/>
                <w:szCs w:val="12"/>
                <w:color w:val="auto"/>
              </w:rPr>
              <w:t>Estimated average burden</w:t>
            </w:r>
          </w:p>
        </w:tc>
        <w:tc>
          <w:tcPr>
            <w:tcW w:w="280" w:type="dxa"/>
            <w:vAlign w:val="bottom"/>
          </w:tcPr>
          <w:p>
            <w:pPr>
              <w:spacing w:after="0"/>
              <w:rPr>
                <w:sz w:val="12"/>
                <w:szCs w:val="12"/>
                <w:color w:val="auto"/>
              </w:rPr>
            </w:pPr>
          </w:p>
        </w:tc>
      </w:tr>
      <w:tr>
        <w:trPr>
          <w:trHeight w:val="194"/>
        </w:trPr>
        <w:tc>
          <w:tcPr>
            <w:tcW w:w="1560" w:type="dxa"/>
            <w:vAlign w:val="bottom"/>
          </w:tcPr>
          <w:p>
            <w:pPr>
              <w:spacing w:after="0"/>
              <w:rPr>
                <w:sz w:val="20"/>
                <w:szCs w:val="20"/>
                <w:color w:val="auto"/>
              </w:rPr>
            </w:pPr>
            <w:r>
              <w:rPr>
                <w:rFonts w:ascii="Arial" w:cs="Arial" w:eastAsia="Arial" w:hAnsi="Arial"/>
                <w:sz w:val="12"/>
                <w:szCs w:val="12"/>
                <w:color w:val="auto"/>
              </w:rPr>
              <w:t>hours per response:</w:t>
            </w:r>
          </w:p>
        </w:tc>
        <w:tc>
          <w:tcPr>
            <w:tcW w:w="280" w:type="dxa"/>
            <w:vAlign w:val="bottom"/>
          </w:tcPr>
          <w:p>
            <w:pPr>
              <w:jc w:val="right"/>
              <w:spacing w:after="0"/>
              <w:rPr>
                <w:sz w:val="20"/>
                <w:szCs w:val="20"/>
                <w:color w:val="auto"/>
              </w:rPr>
            </w:pPr>
            <w:r>
              <w:rPr>
                <w:rFonts w:ascii="Arial" w:cs="Arial" w:eastAsia="Arial" w:hAnsi="Arial"/>
                <w:sz w:val="12"/>
                <w:szCs w:val="12"/>
                <w:color w:val="auto"/>
              </w:rPr>
              <w:t>0.5</w:t>
            </w:r>
          </w:p>
        </w:tc>
      </w:tr>
    </w:tbl>
    <w:p>
      <w:pPr>
        <w:spacing w:after="0" w:line="410" w:lineRule="exact"/>
        <w:rPr>
          <w:sz w:val="24"/>
          <w:szCs w:val="24"/>
          <w:color w:val="auto"/>
        </w:rPr>
      </w:pPr>
    </w:p>
    <w:p>
      <w:pPr>
        <w:sectPr>
          <w:pgSz w:w="11900" w:h="16838" w:orient="portrait"/>
          <w:cols w:equalWidth="0" w:num="2">
            <w:col w:w="8340" w:space="600"/>
            <w:col w:w="2000"/>
          </w:cols>
          <w:pgMar w:left="480" w:top="229" w:right="479" w:bottom="1440" w:gutter="0" w:footer="0" w:header="0"/>
          <w:type w:val="continuous"/>
        </w:sectPr>
      </w:pP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958330" cy="187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8330" cy="1878330"/>
                    </a:xfrm>
                    <a:prstGeom prst="rect">
                      <a:avLst/>
                    </a:prstGeom>
                    <a:noFill/>
                  </pic:spPr>
                </pic:pic>
              </a:graphicData>
            </a:graphic>
          </wp:anchor>
        </w:drawing>
      </w:r>
    </w:p>
    <w:p>
      <w:pPr>
        <w:sectPr>
          <w:pgSz w:w="11900" w:h="16838" w:orient="portrait"/>
          <w:cols w:equalWidth="0" w:num="1">
            <w:col w:w="10940"/>
          </w:cols>
          <w:pgMar w:left="480" w:top="229" w:right="479" w:bottom="1440" w:gutter="0" w:footer="0" w:header="0"/>
          <w:type w:val="continuous"/>
        </w:sectPr>
      </w:pPr>
    </w:p>
    <w:p>
      <w:pPr>
        <w:spacing w:after="0" w:line="34" w:lineRule="exact"/>
        <w:rPr>
          <w:sz w:val="24"/>
          <w:szCs w:val="24"/>
          <w:color w:val="auto"/>
        </w:rPr>
      </w:pPr>
    </w:p>
    <w:tbl>
      <w:tblPr>
        <w:tblLayout w:type="fixed"/>
        <w:tblInd w:w="80" w:type="dxa"/>
        <w:tblCellMar>
          <w:top w:w="0" w:type="dxa"/>
          <w:left w:w="0" w:type="dxa"/>
          <w:bottom w:w="0" w:type="dxa"/>
          <w:right w:w="0" w:type="dxa"/>
        </w:tblCellMar>
      </w:tblPr>
      <w:tr>
        <w:trPr>
          <w:trHeight w:val="264"/>
        </w:trPr>
        <w:tc>
          <w:tcPr>
            <w:tcW w:w="3120" w:type="dxa"/>
            <w:vAlign w:val="bottom"/>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tc>
        <w:tc>
          <w:tcPr>
            <w:tcW w:w="142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8"/>
        </w:trPr>
        <w:tc>
          <w:tcPr>
            <w:tcW w:w="3120" w:type="dxa"/>
            <w:vAlign w:val="bottom"/>
            <w:vMerge w:val="restart"/>
          </w:tcPr>
          <w:p>
            <w:pPr>
              <w:ind w:left="4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Lux Neal</w:t>
              </w:r>
            </w:hyperlink>
          </w:p>
        </w:tc>
        <w:tc>
          <w:tcPr>
            <w:tcW w:w="1420" w:type="dxa"/>
            <w:vAlign w:val="bottom"/>
          </w:tcPr>
          <w:p>
            <w:pPr>
              <w:ind w:left="160"/>
              <w:spacing w:after="0" w:line="139" w:lineRule="exact"/>
              <w:rPr>
                <w:sz w:val="20"/>
                <w:szCs w:val="20"/>
                <w:color w:val="auto"/>
              </w:rPr>
            </w:pPr>
            <w:r>
              <w:rPr>
                <w:rFonts w:ascii="Arial" w:cs="Arial" w:eastAsia="Arial" w:hAnsi="Arial"/>
                <w:sz w:val="14"/>
                <w:szCs w:val="14"/>
                <w:color w:val="auto"/>
                <w:w w:val="97"/>
              </w:rPr>
              <w:t>Requiring Statement</w:t>
            </w:r>
          </w:p>
        </w:tc>
        <w:tc>
          <w:tcPr>
            <w:tcW w:w="0" w:type="dxa"/>
            <w:vAlign w:val="bottom"/>
          </w:tcPr>
          <w:p>
            <w:pPr>
              <w:spacing w:after="0"/>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1420" w:type="dxa"/>
            <w:vAlign w:val="bottom"/>
          </w:tcPr>
          <w:p>
            <w:pPr>
              <w:ind w:left="160"/>
              <w:spacing w:after="0" w:line="143"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9"/>
        </w:trPr>
        <w:tc>
          <w:tcPr>
            <w:tcW w:w="3120" w:type="dxa"/>
            <w:vAlign w:val="bottom"/>
            <w:tcBorders>
              <w:bottom w:val="single" w:sz="8" w:color="9A9A9A"/>
            </w:tcBorders>
          </w:tcPr>
          <w:p>
            <w:pPr>
              <w:spacing w:after="0"/>
              <w:rPr>
                <w:sz w:val="17"/>
                <w:szCs w:val="17"/>
                <w:color w:val="auto"/>
              </w:rPr>
            </w:pPr>
          </w:p>
        </w:tc>
        <w:tc>
          <w:tcPr>
            <w:tcW w:w="1420" w:type="dxa"/>
            <w:vAlign w:val="bottom"/>
          </w:tcPr>
          <w:p>
            <w:pPr>
              <w:ind w:left="160"/>
              <w:spacing w:after="0" w:line="191" w:lineRule="exact"/>
              <w:rPr>
                <w:sz w:val="20"/>
                <w:szCs w:val="20"/>
                <w:color w:val="auto"/>
              </w:rPr>
            </w:pPr>
            <w:r>
              <w:rPr>
                <w:rFonts w:ascii="Arial" w:cs="Arial" w:eastAsia="Arial" w:hAnsi="Arial"/>
                <w:sz w:val="18"/>
                <w:szCs w:val="18"/>
                <w:color w:val="0000FF"/>
              </w:rPr>
              <w:t>05/12/2020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FORUM ENERGY TECHNOLOGIES,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FET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0" w:lineRule="exact"/>
        <w:rPr>
          <w:sz w:val="24"/>
          <w:szCs w:val="24"/>
          <w:color w:val="auto"/>
        </w:rPr>
      </w:pPr>
    </w:p>
    <w:p>
      <w:pPr>
        <w:sectPr>
          <w:pgSz w:w="11900" w:h="16838" w:orient="portrait"/>
          <w:cols w:equalWidth="0" w:num="2">
            <w:col w:w="4620" w:space="380"/>
            <w:col w:w="5940"/>
          </w:cols>
          <w:pgMar w:left="480" w:top="229" w:right="479" w:bottom="1440" w:gutter="0" w:footer="0" w:header="0"/>
          <w:type w:val="continuous"/>
        </w:sectPr>
      </w:pPr>
    </w:p>
    <w:p>
      <w:pPr>
        <w:spacing w:after="0" w:line="9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80" w:type="dxa"/>
            <w:vAlign w:val="bottom"/>
          </w:tcPr>
          <w:p>
            <w:pPr>
              <w:ind w:left="40"/>
              <w:spacing w:after="0"/>
              <w:rPr>
                <w:sz w:val="20"/>
                <w:szCs w:val="20"/>
                <w:color w:val="auto"/>
              </w:rPr>
            </w:pPr>
            <w:r>
              <w:rPr>
                <w:rFonts w:ascii="Arial" w:cs="Arial" w:eastAsia="Arial" w:hAnsi="Arial"/>
                <w:sz w:val="14"/>
                <w:szCs w:val="14"/>
                <w:color w:val="auto"/>
              </w:rPr>
              <w:t>(Last)</w:t>
            </w:r>
          </w:p>
        </w:tc>
        <w:tc>
          <w:tcPr>
            <w:tcW w:w="780" w:type="dxa"/>
            <w:vAlign w:val="bottom"/>
          </w:tcPr>
          <w:p>
            <w:pPr>
              <w:ind w:left="80"/>
              <w:spacing w:after="0"/>
              <w:rPr>
                <w:sz w:val="20"/>
                <w:szCs w:val="20"/>
                <w:color w:val="auto"/>
              </w:rPr>
            </w:pPr>
            <w:r>
              <w:rPr>
                <w:rFonts w:ascii="Arial" w:cs="Arial" w:eastAsia="Arial" w:hAnsi="Arial"/>
                <w:sz w:val="14"/>
                <w:szCs w:val="14"/>
                <w:color w:val="auto"/>
              </w:rPr>
              <w:t>(First)</w:t>
            </w:r>
          </w:p>
        </w:tc>
        <w:tc>
          <w:tcPr>
            <w:tcW w:w="136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92"/>
        </w:trPr>
        <w:tc>
          <w:tcPr>
            <w:tcW w:w="3120" w:type="dxa"/>
            <w:vAlign w:val="bottom"/>
            <w:gridSpan w:val="3"/>
          </w:tcPr>
          <w:p>
            <w:pPr>
              <w:ind w:left="40"/>
              <w:spacing w:after="0"/>
              <w:rPr>
                <w:sz w:val="20"/>
                <w:szCs w:val="20"/>
                <w:color w:val="auto"/>
              </w:rPr>
            </w:pPr>
            <w:r>
              <w:rPr>
                <w:rFonts w:ascii="Arial" w:cs="Arial" w:eastAsia="Arial" w:hAnsi="Arial"/>
                <w:sz w:val="18"/>
                <w:szCs w:val="18"/>
                <w:color w:val="0000FF"/>
              </w:rPr>
              <w:t>10344 SAM HOUSTON PARK DRIVE</w:t>
            </w:r>
          </w:p>
        </w:tc>
      </w:tr>
      <w:tr>
        <w:trPr>
          <w:trHeight w:val="278"/>
        </w:trPr>
        <w:tc>
          <w:tcPr>
            <w:tcW w:w="980" w:type="dxa"/>
            <w:vAlign w:val="bottom"/>
          </w:tcPr>
          <w:p>
            <w:pPr>
              <w:ind w:left="40"/>
              <w:spacing w:after="0"/>
              <w:rPr>
                <w:sz w:val="20"/>
                <w:szCs w:val="20"/>
                <w:color w:val="auto"/>
              </w:rPr>
            </w:pPr>
            <w:r>
              <w:rPr>
                <w:rFonts w:ascii="Arial" w:cs="Arial" w:eastAsia="Arial" w:hAnsi="Arial"/>
                <w:sz w:val="18"/>
                <w:szCs w:val="18"/>
                <w:color w:val="0000FF"/>
              </w:rPr>
              <w:t>SUITE 300</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9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r>
      <w:tr>
        <w:trPr>
          <w:trHeight w:val="276"/>
        </w:trPr>
        <w:tc>
          <w:tcPr>
            <w:tcW w:w="980" w:type="dxa"/>
            <w:vAlign w:val="bottom"/>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980" w:type="dxa"/>
            <w:vAlign w:val="bottom"/>
          </w:tcPr>
          <w:p>
            <w:pPr>
              <w:ind w:left="40"/>
              <w:spacing w:after="0"/>
              <w:rPr>
                <w:sz w:val="20"/>
                <w:szCs w:val="20"/>
                <w:color w:val="auto"/>
              </w:rPr>
            </w:pPr>
            <w:r>
              <w:rPr>
                <w:rFonts w:ascii="Arial" w:cs="Arial" w:eastAsia="Arial" w:hAnsi="Arial"/>
                <w:sz w:val="18"/>
                <w:szCs w:val="18"/>
                <w:color w:val="0000FF"/>
              </w:rPr>
              <w:t>HOUSTON</w:t>
            </w:r>
          </w:p>
        </w:tc>
        <w:tc>
          <w:tcPr>
            <w:tcW w:w="780" w:type="dxa"/>
            <w:vAlign w:val="bottom"/>
          </w:tcPr>
          <w:p>
            <w:pPr>
              <w:ind w:left="80"/>
              <w:spacing w:after="0"/>
              <w:rPr>
                <w:sz w:val="20"/>
                <w:szCs w:val="20"/>
                <w:color w:val="auto"/>
              </w:rPr>
            </w:pPr>
            <w:r>
              <w:rPr>
                <w:rFonts w:ascii="Arial" w:cs="Arial" w:eastAsia="Arial" w:hAnsi="Arial"/>
                <w:sz w:val="18"/>
                <w:szCs w:val="18"/>
                <w:color w:val="0000FF"/>
              </w:rPr>
              <w:t>TX</w:t>
            </w:r>
          </w:p>
        </w:tc>
        <w:tc>
          <w:tcPr>
            <w:tcW w:w="1360" w:type="dxa"/>
            <w:vAlign w:val="bottom"/>
          </w:tcPr>
          <w:p>
            <w:pPr>
              <w:ind w:left="340"/>
              <w:spacing w:after="0"/>
              <w:rPr>
                <w:sz w:val="20"/>
                <w:szCs w:val="20"/>
                <w:color w:val="auto"/>
              </w:rPr>
            </w:pPr>
            <w:r>
              <w:rPr>
                <w:rFonts w:ascii="Arial" w:cs="Arial" w:eastAsia="Arial" w:hAnsi="Arial"/>
                <w:sz w:val="18"/>
                <w:szCs w:val="18"/>
                <w:color w:val="0000FF"/>
              </w:rPr>
              <w:t>77064</w:t>
            </w:r>
          </w:p>
        </w:tc>
      </w:tr>
    </w:tbl>
    <w:p>
      <w:pPr>
        <w:spacing w:after="0" w:line="20" w:lineRule="exact"/>
        <w:rPr>
          <w:sz w:val="24"/>
          <w:szCs w:val="24"/>
          <w:color w:val="auto"/>
        </w:rPr>
      </w:pPr>
      <w:r>
        <w:rPr>
          <w:sz w:val="24"/>
          <w:szCs w:val="24"/>
          <w:color w:val="auto"/>
        </w:rPr>
        <w:br w:type="column"/>
      </w:r>
    </w:p>
    <w:p>
      <w:pPr>
        <w:ind w:left="9" w:right="20" w:hanging="9"/>
        <w:spacing w:after="0" w:line="237" w:lineRule="auto"/>
        <w:tabs>
          <w:tab w:leader="none" w:pos="164"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9" w:lineRule="exact"/>
        <w:rPr>
          <w:sz w:val="24"/>
          <w:szCs w:val="24"/>
          <w:color w:val="auto"/>
        </w:rPr>
      </w:pPr>
    </w:p>
    <w:tbl>
      <w:tblPr>
        <w:tblLayout w:type="fixed"/>
        <w:tblInd w:w="189"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40" w:type="dxa"/>
            <w:vAlign w:val="bottom"/>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38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40" w:type="dxa"/>
            <w:vAlign w:val="bottom"/>
          </w:tcPr>
          <w:p>
            <w:pPr>
              <w:ind w:left="280"/>
              <w:spacing w:after="0"/>
              <w:rPr>
                <w:sz w:val="20"/>
                <w:szCs w:val="20"/>
                <w:color w:val="auto"/>
              </w:rPr>
            </w:pPr>
            <w:r>
              <w:rPr>
                <w:rFonts w:ascii="Arial" w:cs="Arial" w:eastAsia="Arial" w:hAnsi="Arial"/>
                <w:sz w:val="14"/>
                <w:szCs w:val="14"/>
                <w:color w:val="auto"/>
                <w:w w:val="96"/>
              </w:rPr>
              <w:t>Other (specify</w:t>
            </w:r>
          </w:p>
        </w:tc>
        <w:tc>
          <w:tcPr>
            <w:tcW w:w="0" w:type="dxa"/>
            <w:vAlign w:val="bottom"/>
          </w:tcPr>
          <w:p>
            <w:pPr>
              <w:spacing w:after="0"/>
              <w:rPr>
                <w:sz w:val="1"/>
                <w:szCs w:val="1"/>
                <w:color w:val="auto"/>
              </w:rPr>
            </w:pPr>
          </w:p>
        </w:tc>
      </w:tr>
      <w:tr>
        <w:trPr>
          <w:trHeight w:val="110"/>
        </w:trPr>
        <w:tc>
          <w:tcPr>
            <w:tcW w:w="240" w:type="dxa"/>
            <w:vAlign w:val="bottom"/>
            <w:vMerge w:val="continue"/>
          </w:tcPr>
          <w:p>
            <w:pPr>
              <w:spacing w:after="0"/>
              <w:rPr>
                <w:sz w:val="9"/>
                <w:szCs w:val="9"/>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4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89"/>
        <w:spacing w:after="0"/>
        <w:rPr>
          <w:sz w:val="20"/>
          <w:szCs w:val="20"/>
          <w:color w:val="auto"/>
        </w:rPr>
      </w:pPr>
      <w:r>
        <w:rPr>
          <w:rFonts w:ascii="Arial" w:cs="Arial" w:eastAsia="Arial" w:hAnsi="Arial"/>
          <w:sz w:val="18"/>
          <w:szCs w:val="18"/>
          <w:color w:val="0000FF"/>
        </w:rPr>
        <w:t>SVP Operations</w:t>
      </w:r>
    </w:p>
    <w:p>
      <w:pPr>
        <w:spacing w:after="0" w:line="20" w:lineRule="exact"/>
        <w:rPr>
          <w:sz w:val="24"/>
          <w:szCs w:val="24"/>
          <w:color w:val="auto"/>
        </w:rPr>
      </w:pPr>
      <w:r>
        <w:rPr>
          <w:sz w:val="24"/>
          <w:szCs w:val="24"/>
          <w:color w:val="auto"/>
        </w:rPr>
        <w:br w:type="column"/>
      </w:r>
    </w:p>
    <w:p>
      <w:pPr>
        <w:ind w:left="-8" w:right="280" w:firstLine="8"/>
        <w:spacing w:after="0" w:line="237" w:lineRule="auto"/>
        <w:tabs>
          <w:tab w:leader="none" w:pos="146"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9" w:lineRule="exact"/>
        <w:rPr>
          <w:rFonts w:ascii="Arial" w:cs="Arial" w:eastAsia="Arial" w:hAnsi="Arial"/>
          <w:sz w:val="14"/>
          <w:szCs w:val="14"/>
          <w:color w:val="auto"/>
        </w:rPr>
      </w:pPr>
    </w:p>
    <w:p>
      <w:pPr>
        <w:ind w:left="-8" w:right="160" w:firstLine="8"/>
        <w:spacing w:after="0" w:line="237" w:lineRule="auto"/>
        <w:tabs>
          <w:tab w:leader="none" w:pos="146"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9" w:lineRule="exact"/>
        <w:rPr>
          <w:sz w:val="24"/>
          <w:szCs w:val="24"/>
          <w:color w:val="auto"/>
        </w:rPr>
      </w:pPr>
    </w:p>
    <w:p>
      <w:pPr>
        <w:ind w:left="452" w:right="460" w:hanging="294"/>
        <w:spacing w:after="0" w:line="189" w:lineRule="auto"/>
        <w:tabs>
          <w:tab w:leader="none" w:pos="452" w:val="left"/>
        </w:tabs>
        <w:numPr>
          <w:ilvl w:val="0"/>
          <w:numId w:val="3"/>
        </w:numPr>
        <w:rPr>
          <w:rFonts w:ascii="Arial" w:cs="Arial" w:eastAsia="Arial" w:hAnsi="Arial"/>
          <w:sz w:val="24"/>
          <w:szCs w:val="24"/>
          <w:color w:val="0000FF"/>
          <w:vertAlign w:val="subscript"/>
        </w:rPr>
      </w:pPr>
      <w:r>
        <w:rPr>
          <w:rFonts w:ascii="Arial" w:cs="Arial" w:eastAsia="Arial" w:hAnsi="Arial"/>
          <w:sz w:val="11"/>
          <w:szCs w:val="11"/>
          <w:color w:val="auto"/>
        </w:rPr>
        <w:t>Form filed by One Reporting Person</w:t>
      </w:r>
    </w:p>
    <w:p>
      <w:pPr>
        <w:spacing w:after="0" w:line="44" w:lineRule="exact"/>
        <w:rPr>
          <w:rFonts w:ascii="Arial" w:cs="Arial" w:eastAsia="Arial" w:hAnsi="Arial"/>
          <w:sz w:val="24"/>
          <w:szCs w:val="24"/>
          <w:color w:val="0000FF"/>
          <w:vertAlign w:val="subscript"/>
        </w:rPr>
      </w:pPr>
    </w:p>
    <w:p>
      <w:pPr>
        <w:ind w:left="452" w:right="440"/>
        <w:spacing w:after="0" w:line="237" w:lineRule="auto"/>
        <w:rPr>
          <w:rFonts w:ascii="Arial" w:cs="Arial" w:eastAsia="Arial" w:hAnsi="Arial"/>
          <w:sz w:val="24"/>
          <w:szCs w:val="24"/>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71" w:space="720"/>
            <w:col w:w="2949" w:space="328"/>
            <w:col w:w="2672"/>
          </w:cols>
          <w:pgMar w:left="480" w:top="229" w:right="479" w:bottom="1440" w:gutter="0" w:footer="0" w:header="0"/>
          <w:type w:val="continuous"/>
        </w:sectPr>
      </w:pPr>
    </w:p>
    <w:p>
      <w:pPr>
        <w:spacing w:after="0" w:line="51"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958330" cy="943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58330" cy="94361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480" w:type="dxa"/>
            <w:vAlign w:val="bottom"/>
          </w:tcPr>
          <w:p>
            <w:pPr>
              <w:ind w:left="1520"/>
              <w:spacing w:after="0"/>
              <w:rPr>
                <w:sz w:val="20"/>
                <w:szCs w:val="20"/>
                <w:color w:val="auto"/>
              </w:rPr>
            </w:pPr>
            <w:r>
              <w:rPr>
                <w:rFonts w:ascii="Arial" w:cs="Arial" w:eastAsia="Arial" w:hAnsi="Arial"/>
                <w:sz w:val="14"/>
                <w:szCs w:val="14"/>
                <w:b w:val="1"/>
                <w:bCs w:val="1"/>
                <w:color w:val="auto"/>
              </w:rPr>
              <w:t>2. Amount of Securities</w:t>
            </w: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3. Ownership</w:t>
            </w:r>
          </w:p>
        </w:tc>
        <w:tc>
          <w:tcPr>
            <w:tcW w:w="2920" w:type="dxa"/>
            <w:vAlign w:val="bottom"/>
          </w:tcPr>
          <w:p>
            <w:pPr>
              <w:ind w:left="160"/>
              <w:spacing w:after="0"/>
              <w:rPr>
                <w:sz w:val="20"/>
                <w:szCs w:val="20"/>
                <w:color w:val="auto"/>
              </w:rPr>
            </w:pPr>
            <w:r>
              <w:rPr>
                <w:rFonts w:ascii="Arial" w:cs="Arial" w:eastAsia="Arial" w:hAnsi="Arial"/>
                <w:sz w:val="14"/>
                <w:szCs w:val="14"/>
                <w:b w:val="1"/>
                <w:bCs w:val="1"/>
                <w:color w:val="auto"/>
              </w:rPr>
              <w:t>4. Nature of Indirect Beneficial</w:t>
            </w:r>
          </w:p>
        </w:tc>
      </w:tr>
      <w:tr>
        <w:trPr>
          <w:trHeight w:val="153"/>
        </w:trPr>
        <w:tc>
          <w:tcPr>
            <w:tcW w:w="3380" w:type="dxa"/>
            <w:vAlign w:val="bottom"/>
          </w:tcPr>
          <w:p>
            <w:pPr>
              <w:spacing w:after="0"/>
              <w:rPr>
                <w:sz w:val="13"/>
                <w:szCs w:val="13"/>
                <w:color w:val="auto"/>
              </w:rPr>
            </w:pPr>
          </w:p>
        </w:tc>
        <w:tc>
          <w:tcPr>
            <w:tcW w:w="3480" w:type="dxa"/>
            <w:vAlign w:val="bottom"/>
          </w:tcPr>
          <w:p>
            <w:pPr>
              <w:ind w:left="1520"/>
              <w:spacing w:after="0" w:line="153" w:lineRule="exact"/>
              <w:rPr>
                <w:sz w:val="20"/>
                <w:szCs w:val="20"/>
                <w:color w:val="auto"/>
              </w:rPr>
            </w:pPr>
            <w:r>
              <w:rPr>
                <w:rFonts w:ascii="Arial" w:cs="Arial" w:eastAsia="Arial" w:hAnsi="Arial"/>
                <w:sz w:val="14"/>
                <w:szCs w:val="14"/>
                <w:b w:val="1"/>
                <w:bCs w:val="1"/>
                <w:color w:val="auto"/>
              </w:rPr>
              <w:t>Beneficially Owned (Instr. 4)</w:t>
            </w:r>
          </w:p>
        </w:tc>
        <w:tc>
          <w:tcPr>
            <w:tcW w:w="116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Form: Direct</w:t>
            </w:r>
          </w:p>
        </w:tc>
        <w:tc>
          <w:tcPr>
            <w:tcW w:w="292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Ownership (Instr. 5)</w:t>
            </w:r>
          </w:p>
        </w:tc>
      </w:tr>
      <w:tr>
        <w:trPr>
          <w:trHeight w:val="153"/>
        </w:trPr>
        <w:tc>
          <w:tcPr>
            <w:tcW w:w="33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16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(D) or Indirect</w:t>
            </w:r>
          </w:p>
        </w:tc>
        <w:tc>
          <w:tcPr>
            <w:tcW w:w="2920" w:type="dxa"/>
            <w:vAlign w:val="bottom"/>
          </w:tcPr>
          <w:p>
            <w:pPr>
              <w:spacing w:after="0"/>
              <w:rPr>
                <w:sz w:val="13"/>
                <w:szCs w:val="13"/>
                <w:color w:val="auto"/>
              </w:rPr>
            </w:pPr>
          </w:p>
        </w:tc>
      </w:tr>
      <w:tr>
        <w:trPr>
          <w:trHeight w:val="182"/>
        </w:trPr>
        <w:tc>
          <w:tcPr>
            <w:tcW w:w="33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(I) (Instr. 5)</w:t>
            </w:r>
          </w:p>
        </w:tc>
        <w:tc>
          <w:tcPr>
            <w:tcW w:w="2920" w:type="dxa"/>
            <w:vAlign w:val="bottom"/>
          </w:tcPr>
          <w:p>
            <w:pPr>
              <w:spacing w:after="0"/>
              <w:rPr>
                <w:sz w:val="15"/>
                <w:szCs w:val="15"/>
                <w:color w:val="auto"/>
              </w:rPr>
            </w:pPr>
          </w:p>
        </w:tc>
      </w:tr>
      <w:tr>
        <w:trPr>
          <w:trHeight w:val="51"/>
        </w:trPr>
        <w:tc>
          <w:tcPr>
            <w:tcW w:w="3380" w:type="dxa"/>
            <w:vAlign w:val="bottom"/>
            <w:tcBorders>
              <w:bottom w:val="single" w:sz="8" w:color="2C2C2C"/>
            </w:tcBorders>
          </w:tcPr>
          <w:p>
            <w:pPr>
              <w:spacing w:after="0"/>
              <w:rPr>
                <w:sz w:val="4"/>
                <w:szCs w:val="4"/>
                <w:color w:val="auto"/>
              </w:rPr>
            </w:pPr>
          </w:p>
        </w:tc>
        <w:tc>
          <w:tcPr>
            <w:tcW w:w="34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tcPr>
          <w:p>
            <w:pPr>
              <w:spacing w:after="0"/>
              <w:rPr>
                <w:sz w:val="4"/>
                <w:szCs w:val="4"/>
                <w:color w:val="auto"/>
              </w:rPr>
            </w:pP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760" w:type="dxa"/>
            <w:vAlign w:val="bottom"/>
          </w:tcPr>
          <w:p>
            <w:pPr>
              <w:ind w:left="80"/>
              <w:spacing w:after="0"/>
              <w:rPr>
                <w:sz w:val="20"/>
                <w:szCs w:val="20"/>
                <w:color w:val="auto"/>
              </w:rPr>
            </w:pPr>
            <w:r>
              <w:rPr>
                <w:rFonts w:ascii="Arial" w:cs="Arial" w:eastAsia="Arial" w:hAnsi="Arial"/>
                <w:sz w:val="18"/>
                <w:szCs w:val="18"/>
                <w:color w:val="0000FF"/>
              </w:rPr>
              <w:t>Common Stock</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ind w:left="520"/>
              <w:spacing w:after="0"/>
              <w:rPr>
                <w:sz w:val="20"/>
                <w:szCs w:val="20"/>
                <w:color w:val="auto"/>
              </w:rPr>
            </w:pPr>
            <w:r>
              <w:rPr>
                <w:rFonts w:ascii="Arial" w:cs="Arial" w:eastAsia="Arial" w:hAnsi="Arial"/>
                <w:sz w:val="18"/>
                <w:szCs w:val="18"/>
                <w:color w:val="0000FF"/>
              </w:rPr>
              <w:t>797,336</w:t>
            </w:r>
          </w:p>
        </w:tc>
        <w:tc>
          <w:tcPr>
            <w:tcW w:w="880" w:type="dxa"/>
            <w:vAlign w:val="bottom"/>
          </w:tcPr>
          <w:p>
            <w:pPr>
              <w:ind w:left="640"/>
              <w:spacing w:after="0"/>
              <w:rPr>
                <w:sz w:val="20"/>
                <w:szCs w:val="20"/>
                <w:color w:val="auto"/>
              </w:rPr>
            </w:pPr>
            <w:r>
              <w:rPr>
                <w:rFonts w:ascii="Arial" w:cs="Arial" w:eastAsia="Arial" w:hAnsi="Arial"/>
                <w:sz w:val="18"/>
                <w:szCs w:val="18"/>
                <w:color w:val="0000FF"/>
              </w:rPr>
              <w:t>D</w:t>
            </w: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760" w:type="dxa"/>
            <w:vAlign w:val="bottom"/>
          </w:tcPr>
          <w:p>
            <w:pPr>
              <w:spacing w:after="0"/>
              <w:rPr>
                <w:sz w:val="20"/>
                <w:szCs w:val="20"/>
                <w:color w:val="auto"/>
              </w:rPr>
            </w:pPr>
          </w:p>
        </w:tc>
        <w:tc>
          <w:tcPr>
            <w:tcW w:w="584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6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Expiration Date</w:t>
            </w:r>
          </w:p>
        </w:tc>
        <w:tc>
          <w:tcPr>
            <w:tcW w:w="26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Underlying Derivative Security (Instr.</w:t>
            </w:r>
          </w:p>
        </w:tc>
        <w:tc>
          <w:tcPr>
            <w:tcW w:w="92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(Month/Day/Year)</w:t>
            </w:r>
          </w:p>
        </w:tc>
        <w:tc>
          <w:tcPr>
            <w:tcW w:w="1740" w:type="dxa"/>
            <w:vAlign w:val="bottom"/>
          </w:tcPr>
          <w:p>
            <w:pPr>
              <w:ind w:left="60"/>
              <w:spacing w:after="0" w:line="153" w:lineRule="exact"/>
              <w:rPr>
                <w:sz w:val="20"/>
                <w:szCs w:val="20"/>
                <w:color w:val="auto"/>
              </w:rPr>
            </w:pPr>
            <w:r>
              <w:rPr>
                <w:rFonts w:ascii="Arial" w:cs="Arial" w:eastAsia="Arial" w:hAnsi="Arial"/>
                <w:sz w:val="14"/>
                <w:szCs w:val="14"/>
                <w:b w:val="1"/>
                <w:bCs w:val="1"/>
                <w:color w:val="auto"/>
              </w:rPr>
              <w:t>4)</w:t>
            </w:r>
          </w:p>
        </w:tc>
        <w:tc>
          <w:tcPr>
            <w:tcW w:w="880" w:type="dxa"/>
            <w:vAlign w:val="bottom"/>
          </w:tcPr>
          <w:p>
            <w:pPr>
              <w:spacing w:after="0"/>
              <w:rPr>
                <w:sz w:val="13"/>
                <w:szCs w:val="13"/>
                <w:color w:val="auto"/>
              </w:rPr>
            </w:pPr>
          </w:p>
        </w:tc>
        <w:tc>
          <w:tcPr>
            <w:tcW w:w="92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0"/>
        </w:trPr>
        <w:tc>
          <w:tcPr>
            <w:tcW w:w="2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20" w:type="dxa"/>
            <w:vAlign w:val="bottom"/>
            <w:vMerge w:val="restart"/>
          </w:tcPr>
          <w:p>
            <w:pPr>
              <w:ind w:left="80"/>
              <w:spacing w:after="0" w:line="153"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53"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or</w:t>
            </w:r>
          </w:p>
        </w:tc>
        <w:tc>
          <w:tcPr>
            <w:tcW w:w="92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tcPr>
          <w:p>
            <w:pPr>
              <w:ind w:left="220"/>
              <w:spacing w:after="0" w:line="150" w:lineRule="exact"/>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Date</w:t>
            </w:r>
          </w:p>
        </w:tc>
        <w:tc>
          <w:tcPr>
            <w:tcW w:w="920" w:type="dxa"/>
            <w:vAlign w:val="bottom"/>
          </w:tcPr>
          <w:p>
            <w:pPr>
              <w:ind w:left="80"/>
              <w:spacing w:after="0" w:line="153" w:lineRule="exact"/>
              <w:rPr>
                <w:sz w:val="20"/>
                <w:szCs w:val="20"/>
                <w:color w:val="auto"/>
              </w:rPr>
            </w:pPr>
            <w:r>
              <w:rPr>
                <w:rFonts w:ascii="Arial" w:cs="Arial" w:eastAsia="Arial" w:hAnsi="Arial"/>
                <w:sz w:val="14"/>
                <w:szCs w:val="14"/>
                <w:b w:val="1"/>
                <w:bCs w:val="1"/>
                <w:color w:val="auto"/>
              </w:rPr>
              <w:t>Expiration</w:t>
            </w:r>
          </w:p>
        </w:tc>
        <w:tc>
          <w:tcPr>
            <w:tcW w:w="1740" w:type="dxa"/>
            <w:vAlign w:val="bottom"/>
          </w:tcPr>
          <w:p>
            <w:pPr>
              <w:spacing w:after="0"/>
              <w:rPr>
                <w:sz w:val="13"/>
                <w:szCs w:val="13"/>
                <w:color w:val="auto"/>
              </w:rPr>
            </w:pPr>
          </w:p>
        </w:tc>
        <w:tc>
          <w:tcPr>
            <w:tcW w:w="88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of</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Stock Appreciation Rights</w:t>
            </w:r>
            <w:r>
              <w:rPr>
                <w:rFonts w:ascii="Arial" w:cs="Arial" w:eastAsia="Arial" w:hAnsi="Arial"/>
                <w:sz w:val="23"/>
                <w:szCs w:val="23"/>
                <w:color w:val="008000"/>
                <w:vertAlign w:val="superscript"/>
              </w:rPr>
              <w:t>(1)(2)</w:t>
            </w:r>
          </w:p>
        </w:tc>
        <w:tc>
          <w:tcPr>
            <w:tcW w:w="1380" w:type="dxa"/>
            <w:vAlign w:val="bottom"/>
            <w:tcBorders>
              <w:bottom w:val="single" w:sz="8" w:color="2C2C2C"/>
            </w:tcBorders>
            <w:gridSpan w:val="2"/>
          </w:tcPr>
          <w:p>
            <w:pPr>
              <w:jc w:val="right"/>
              <w:ind w:right="67"/>
              <w:spacing w:after="0"/>
              <w:rPr>
                <w:sz w:val="20"/>
                <w:szCs w:val="20"/>
                <w:color w:val="auto"/>
              </w:rPr>
            </w:pPr>
            <w:r>
              <w:rPr>
                <w:rFonts w:ascii="Arial" w:cs="Arial" w:eastAsia="Arial" w:hAnsi="Arial"/>
                <w:sz w:val="14"/>
                <w:szCs w:val="14"/>
                <w:color w:val="0000FF"/>
              </w:rPr>
              <w:t>10/31/2022</w:t>
            </w:r>
          </w:p>
        </w:tc>
        <w:tc>
          <w:tcPr>
            <w:tcW w:w="920" w:type="dxa"/>
            <w:vAlign w:val="bottom"/>
            <w:tcBorders>
              <w:bottom w:val="single" w:sz="8" w:color="2C2C2C"/>
            </w:tcBorders>
          </w:tcPr>
          <w:p>
            <w:pPr>
              <w:jc w:val="right"/>
              <w:ind w:right="71"/>
              <w:spacing w:after="0"/>
              <w:rPr>
                <w:sz w:val="20"/>
                <w:szCs w:val="20"/>
                <w:color w:val="auto"/>
              </w:rPr>
            </w:pPr>
            <w:r>
              <w:rPr>
                <w:rFonts w:ascii="Arial" w:cs="Arial" w:eastAsia="Arial" w:hAnsi="Arial"/>
                <w:sz w:val="14"/>
                <w:szCs w:val="14"/>
                <w:color w:val="0000FF"/>
              </w:rPr>
              <w:t>10/31/2022</w:t>
            </w:r>
          </w:p>
        </w:tc>
        <w:tc>
          <w:tcPr>
            <w:tcW w:w="174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325,000</w:t>
            </w:r>
          </w:p>
        </w:tc>
        <w:tc>
          <w:tcPr>
            <w:tcW w:w="920" w:type="dxa"/>
            <w:vAlign w:val="bottom"/>
            <w:tcBorders>
              <w:bottom w:val="single" w:sz="8" w:color="2C2C2C"/>
            </w:tcBorders>
          </w:tcPr>
          <w:p>
            <w:pPr>
              <w:jc w:val="center"/>
              <w:ind w:right="149"/>
              <w:spacing w:after="0"/>
              <w:rPr>
                <w:sz w:val="20"/>
                <w:szCs w:val="20"/>
                <w:color w:val="auto"/>
              </w:rPr>
            </w:pPr>
            <w:r>
              <w:rPr>
                <w:rFonts w:ascii="Arial" w:cs="Arial" w:eastAsia="Arial" w:hAnsi="Arial"/>
                <w:sz w:val="18"/>
                <w:szCs w:val="18"/>
                <w:color w:val="0000FF"/>
              </w:rPr>
              <w:t>1.45</w:t>
            </w:r>
            <w:r>
              <w:rPr>
                <w:rFonts w:ascii="Arial" w:cs="Arial" w:eastAsia="Arial" w:hAnsi="Arial"/>
                <w:sz w:val="23"/>
                <w:szCs w:val="23"/>
                <w:color w:val="008000"/>
                <w:vertAlign w:val="superscript"/>
              </w:rPr>
              <w:t>(3)</w:t>
            </w:r>
          </w:p>
        </w:tc>
        <w:tc>
          <w:tcPr>
            <w:tcW w:w="8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14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Performance Shares</w:t>
            </w:r>
          </w:p>
        </w:tc>
        <w:tc>
          <w:tcPr>
            <w:tcW w:w="1380" w:type="dxa"/>
            <w:vAlign w:val="bottom"/>
            <w:tcBorders>
              <w:bottom w:val="single" w:sz="8" w:color="2C2C2C"/>
            </w:tcBorders>
            <w:gridSpan w:val="2"/>
          </w:tcPr>
          <w:p>
            <w:pPr>
              <w:jc w:val="right"/>
              <w:ind w:right="307"/>
              <w:spacing w:after="0"/>
              <w:rPr>
                <w:sz w:val="20"/>
                <w:szCs w:val="20"/>
                <w:color w:val="auto"/>
              </w:rPr>
            </w:pPr>
            <w:r>
              <w:rPr>
                <w:rFonts w:ascii="Arial" w:cs="Arial" w:eastAsia="Arial" w:hAnsi="Arial"/>
                <w:sz w:val="12"/>
                <w:szCs w:val="12"/>
                <w:color w:val="008000"/>
              </w:rPr>
              <w:t>(4)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2"/>
              </w:rPr>
              <w:t>12/31/2021</w:t>
            </w:r>
            <w:r>
              <w:rPr>
                <w:rFonts w:ascii="Arial" w:cs="Arial" w:eastAsia="Arial" w:hAnsi="Arial"/>
                <w:sz w:val="23"/>
                <w:szCs w:val="23"/>
                <w:color w:val="008000"/>
                <w:w w:val="92"/>
                <w:vertAlign w:val="superscript"/>
              </w:rPr>
              <w:t>(4)</w:t>
            </w:r>
          </w:p>
        </w:tc>
        <w:tc>
          <w:tcPr>
            <w:tcW w:w="174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right"/>
              <w:ind w:right="43"/>
              <w:spacing w:after="0"/>
              <w:rPr>
                <w:sz w:val="20"/>
                <w:szCs w:val="20"/>
                <w:color w:val="auto"/>
              </w:rPr>
            </w:pPr>
            <w:r>
              <w:rPr>
                <w:rFonts w:ascii="Arial" w:cs="Arial" w:eastAsia="Arial" w:hAnsi="Arial"/>
                <w:sz w:val="18"/>
                <w:szCs w:val="18"/>
                <w:color w:val="0000FF"/>
              </w:rPr>
              <w:t>30,400</w:t>
            </w:r>
          </w:p>
        </w:tc>
        <w:tc>
          <w:tcPr>
            <w:tcW w:w="920" w:type="dxa"/>
            <w:vAlign w:val="bottom"/>
            <w:tcBorders>
              <w:bottom w:val="single" w:sz="8" w:color="2C2C2C"/>
            </w:tcBorders>
          </w:tcPr>
          <w:p>
            <w:pPr>
              <w:jc w:val="right"/>
              <w:ind w:right="309"/>
              <w:spacing w:after="0"/>
              <w:rPr>
                <w:sz w:val="20"/>
                <w:szCs w:val="20"/>
                <w:color w:val="auto"/>
              </w:rPr>
            </w:pPr>
            <w:r>
              <w:rPr>
                <w:rFonts w:ascii="Arial" w:cs="Arial" w:eastAsia="Arial" w:hAnsi="Arial"/>
                <w:sz w:val="12"/>
                <w:szCs w:val="12"/>
                <w:color w:val="008000"/>
              </w:rPr>
              <w:t>(4)</w:t>
            </w:r>
          </w:p>
        </w:tc>
        <w:tc>
          <w:tcPr>
            <w:tcW w:w="8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14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76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-1911985</wp:posOffset>
            </wp:positionV>
            <wp:extent cx="6958330" cy="178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58330" cy="1781175"/>
                    </a:xfrm>
                    <a:prstGeom prst="rect">
                      <a:avLst/>
                    </a:prstGeom>
                    <a:noFill/>
                  </pic:spPr>
                </pic:pic>
              </a:graphicData>
            </a:graphic>
          </wp:anchor>
        </w:drawing>
      </w:r>
    </w:p>
    <w:p>
      <w:pPr>
        <w:spacing w:after="0" w:line="13" w:lineRule="exact"/>
        <w:rPr>
          <w:sz w:val="24"/>
          <w:szCs w:val="24"/>
          <w:color w:val="auto"/>
        </w:rPr>
      </w:pPr>
    </w:p>
    <w:p>
      <w:pPr>
        <w:ind w:left="40" w:right="240" w:hanging="7"/>
        <w:spacing w:after="0" w:line="239" w:lineRule="auto"/>
        <w:tabs>
          <w:tab w:leader="none" w:pos="179"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an award of stock appreciation rights ( "SARs") granted pursuant to the Forum Energy Technologies, Inc. 2016 Stock and Incentive Plan (the "Plan"). Each SAR represents a contingent right to receive the excess, if any, of the fair market value of one share of Forum Energy Technologies, Inc. (the "Company") common stock, par value $0.01, over the exercise price upon vesting.</w:t>
      </w:r>
    </w:p>
    <w:p>
      <w:pPr>
        <w:spacing w:after="0" w:line="32" w:lineRule="exact"/>
        <w:rPr>
          <w:rFonts w:ascii="Arial" w:cs="Arial" w:eastAsia="Arial" w:hAnsi="Arial"/>
          <w:sz w:val="14"/>
          <w:szCs w:val="14"/>
          <w:color w:val="008000"/>
        </w:rPr>
      </w:pPr>
    </w:p>
    <w:p>
      <w:pPr>
        <w:ind w:left="40" w:right="40" w:hanging="7"/>
        <w:spacing w:after="0" w:line="259" w:lineRule="auto"/>
        <w:tabs>
          <w:tab w:leader="none" w:pos="179"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SARs vest on the third anniversary of the date of grant (10/31/2019) and will settle in Common Stock or, at the Company's election, in cash, as soon as practicable thereafter, subject to a threshold condition that the average closing price of a share of the Company's common stock over the twenty trading days prior to the settlement date is equal to or greater than $5.00. The SARs will be forfeited upon a termination of employment prior to vesting, except in limited circumstances. In connection with the award hereunder, the Company's Board of Directors amended the 2019 Executive Management Incentive Plan ("EMIP") to provide that the award recipient will receive a maximum payout of 75% of the target payout under the EMIP.</w:t>
      </w:r>
    </w:p>
    <w:p>
      <w:pPr>
        <w:spacing w:after="0" w:line="21" w:lineRule="exact"/>
        <w:rPr>
          <w:rFonts w:ascii="Arial" w:cs="Arial" w:eastAsia="Arial" w:hAnsi="Arial"/>
          <w:sz w:val="13"/>
          <w:szCs w:val="13"/>
          <w:color w:val="008000"/>
        </w:rPr>
      </w:pPr>
    </w:p>
    <w:p>
      <w:pPr>
        <w:ind w:left="180" w:hanging="147"/>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exercise price of each SAR is $1.45 per share, which is 125% of the Company's closing stock price on the date of grant.</w:t>
      </w:r>
    </w:p>
    <w:p>
      <w:pPr>
        <w:spacing w:after="0" w:line="47" w:lineRule="exact"/>
        <w:rPr>
          <w:rFonts w:ascii="Arial" w:cs="Arial" w:eastAsia="Arial" w:hAnsi="Arial"/>
          <w:sz w:val="14"/>
          <w:szCs w:val="14"/>
          <w:color w:val="008000"/>
        </w:rPr>
      </w:pPr>
    </w:p>
    <w:p>
      <w:pPr>
        <w:ind w:left="40" w:right="160" w:hanging="7"/>
        <w:spacing w:after="0" w:line="239" w:lineRule="auto"/>
        <w:tabs>
          <w:tab w:leader="none" w:pos="179"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performance share represents a contingent right to receive shares of the Company's common stock, based on the Company's relative shareholder return versus that of the Company's peer group. Each performance share will settle for between 0 and 2 shares of common stock in the first quarter of 2022, based on achievement of performance measures over a three year period, following certification by the Compensation Committee of performance results.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3"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Arial" w:cs="Arial" w:eastAsia="Arial" w:hAnsi="Arial"/>
                <w:sz w:val="18"/>
                <w:szCs w:val="18"/>
                <w:color w:val="0000FF"/>
              </w:rPr>
              <w:t>/s/ Neal Lux by John C.</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05/18/2020</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920" w:type="dxa"/>
            <w:vAlign w:val="bottom"/>
            <w:gridSpan w:val="2"/>
            <w:vMerge w:val="restart"/>
          </w:tcPr>
          <w:p>
            <w:pPr>
              <w:spacing w:after="0" w:line="202" w:lineRule="exact"/>
              <w:rPr>
                <w:sz w:val="20"/>
                <w:szCs w:val="20"/>
                <w:color w:val="auto"/>
              </w:rPr>
            </w:pPr>
            <w:r>
              <w:rPr>
                <w:rFonts w:ascii="Arial" w:cs="Arial" w:eastAsia="Arial" w:hAnsi="Arial"/>
                <w:sz w:val="18"/>
                <w:szCs w:val="18"/>
                <w:color w:val="0000FF"/>
                <w:w w:val="90"/>
              </w:rPr>
              <w:t>Ivascu as Attorney-in-Fact</w:t>
            </w:r>
          </w:p>
        </w:tc>
        <w:tc>
          <w:tcPr>
            <w:tcW w:w="11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920" w:type="dxa"/>
            <w:vAlign w:val="bottom"/>
            <w:tcBorders>
              <w:bottom w:val="single" w:sz="8" w:color="auto"/>
            </w:tcBorders>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302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7" w:lineRule="exact"/>
        <w:rPr>
          <w:sz w:val="24"/>
          <w:szCs w:val="24"/>
          <w:color w:val="auto"/>
        </w:rPr>
      </w:pPr>
    </w:p>
    <w:p>
      <w:pPr>
        <w:jc w:val="both"/>
        <w:ind w:left="40" w:right="2900" w:hanging="7"/>
        <w:spacing w:after="0" w:line="332" w:lineRule="auto"/>
        <w:tabs>
          <w:tab w:leader="none" w:pos="187"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9"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24.1</w:t>
      </w:r>
    </w:p>
    <w:p>
      <w:pPr>
        <w:spacing w:after="0" w:line="227"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POWER OF ATTORNEY</w:t>
      </w:r>
    </w:p>
    <w:p>
      <w:pPr>
        <w:spacing w:after="0" w:line="35"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For Executing Forms 3, 4 and 5, Form 144 and Schedules 13D and 13G</w:t>
      </w:r>
    </w:p>
    <w:p>
      <w:pPr>
        <w:spacing w:after="0" w:line="209" w:lineRule="exact"/>
        <w:rPr>
          <w:sz w:val="20"/>
          <w:szCs w:val="20"/>
          <w:color w:val="auto"/>
        </w:rPr>
      </w:pPr>
    </w:p>
    <w:p>
      <w:pPr>
        <w:jc w:val="both"/>
        <w:ind w:left="9" w:firstLine="667"/>
        <w:spacing w:after="0" w:line="266" w:lineRule="auto"/>
        <w:rPr>
          <w:sz w:val="20"/>
          <w:szCs w:val="20"/>
          <w:color w:val="auto"/>
        </w:rPr>
      </w:pPr>
      <w:r>
        <w:rPr>
          <w:rFonts w:ascii="Arial" w:cs="Arial" w:eastAsia="Arial" w:hAnsi="Arial"/>
          <w:sz w:val="22"/>
          <w:szCs w:val="22"/>
          <w:color w:val="auto"/>
        </w:rPr>
        <w:t xml:space="preserve">Known by all these present, that the undersigned hereby constitutes and appoints each of </w:t>
      </w:r>
      <w:r>
        <w:rPr>
          <w:rFonts w:ascii="Arial" w:cs="Arial" w:eastAsia="Arial" w:hAnsi="Arial"/>
          <w:sz w:val="22"/>
          <w:szCs w:val="22"/>
          <w:b w:val="1"/>
          <w:bCs w:val="1"/>
          <w:color w:val="auto"/>
        </w:rPr>
        <w:t>C. Christopher Gaut</w:t>
      </w:r>
      <w:r>
        <w:rPr>
          <w:rFonts w:ascii="Arial" w:cs="Arial" w:eastAsia="Arial" w:hAnsi="Arial"/>
          <w:sz w:val="22"/>
          <w:szCs w:val="22"/>
          <w:color w:val="auto"/>
        </w:rPr>
        <w:t xml:space="preserve"> </w:t>
      </w:r>
      <w:r>
        <w:rPr>
          <w:rFonts w:ascii="Arial" w:cs="Arial" w:eastAsia="Arial" w:hAnsi="Arial"/>
          <w:sz w:val="22"/>
          <w:szCs w:val="22"/>
          <w:b w:val="1"/>
          <w:bCs w:val="1"/>
          <w:color w:val="auto"/>
        </w:rPr>
        <w:t>and John C. Ivascu</w:t>
      </w:r>
      <w:r>
        <w:rPr>
          <w:rFonts w:ascii="Arial" w:cs="Arial" w:eastAsia="Arial" w:hAnsi="Arial"/>
          <w:sz w:val="22"/>
          <w:szCs w:val="22"/>
          <w:color w:val="auto"/>
        </w:rPr>
        <w:t>, or either of them signing singly, and with full power of substitution, the undersigned’s 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lawful attorney-in-fact to:</w:t>
      </w:r>
    </w:p>
    <w:p>
      <w:pPr>
        <w:spacing w:after="0" w:line="179" w:lineRule="exact"/>
        <w:rPr>
          <w:sz w:val="20"/>
          <w:szCs w:val="20"/>
          <w:color w:val="auto"/>
        </w:rPr>
      </w:pPr>
    </w:p>
    <w:p>
      <w:pPr>
        <w:ind w:left="669" w:hanging="669"/>
        <w:spacing w:after="0"/>
        <w:tabs>
          <w:tab w:leader="none" w:pos="669"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(a) Forms 3, 4 and 5 (including amendments thereto) in accordance</w:t>
      </w:r>
    </w:p>
    <w:p>
      <w:pPr>
        <w:spacing w:after="0" w:line="52" w:lineRule="exact"/>
        <w:rPr>
          <w:sz w:val="20"/>
          <w:szCs w:val="20"/>
          <w:color w:val="auto"/>
        </w:rPr>
      </w:pPr>
    </w:p>
    <w:p>
      <w:pPr>
        <w:ind w:left="669"/>
        <w:spacing w:after="0"/>
        <w:rPr>
          <w:sz w:val="20"/>
          <w:szCs w:val="20"/>
          <w:color w:val="auto"/>
        </w:rPr>
      </w:pPr>
      <w:r>
        <w:rPr>
          <w:rFonts w:ascii="Arial" w:cs="Arial" w:eastAsia="Arial" w:hAnsi="Arial"/>
          <w:sz w:val="22"/>
          <w:szCs w:val="22"/>
          <w:color w:val="auto"/>
        </w:rPr>
        <w:t>with Section 16(a) of the Securities Exchange Act of 1934 and the rules thereunder, (b) Form 144 and</w:t>
      </w:r>
    </w:p>
    <w:p>
      <w:pPr>
        <w:spacing w:after="0" w:line="11" w:lineRule="exact"/>
        <w:rPr>
          <w:sz w:val="20"/>
          <w:szCs w:val="20"/>
          <w:color w:val="auto"/>
        </w:rPr>
      </w:pPr>
    </w:p>
    <w:p>
      <w:pPr>
        <w:jc w:val="both"/>
        <w:ind w:left="669" w:hanging="2"/>
        <w:spacing w:after="0" w:line="253" w:lineRule="auto"/>
        <w:tabs>
          <w:tab w:leader="none" w:pos="994" w:val="left"/>
        </w:tabs>
        <w:numPr>
          <w:ilvl w:val="1"/>
          <w:numId w:val="7"/>
        </w:numPr>
        <w:rPr>
          <w:rFonts w:ascii="Arial" w:cs="Arial" w:eastAsia="Arial" w:hAnsi="Arial"/>
          <w:sz w:val="22"/>
          <w:szCs w:val="22"/>
          <w:color w:val="auto"/>
        </w:rPr>
      </w:pPr>
      <w:r>
        <w:rPr>
          <w:rFonts w:ascii="Arial" w:cs="Arial" w:eastAsia="Arial" w:hAnsi="Arial"/>
          <w:sz w:val="22"/>
          <w:szCs w:val="22"/>
          <w:color w:val="auto"/>
        </w:rPr>
        <w:t>Schedules 13D and 13G (including amendments thereto) in accordance with Sections 13(d) and 13(g) of the Securities Exchange Act of 1934 and the rules thereunder, but only to the extent each such form or schedule relates to the undersigned’s beneficial ownership of securities of Forum Energy Technologies, Inc. or any of its subsidiaries;</w:t>
      </w:r>
    </w:p>
    <w:p>
      <w:pPr>
        <w:spacing w:after="0" w:line="193" w:lineRule="exact"/>
        <w:rPr>
          <w:rFonts w:ascii="Arial" w:cs="Arial" w:eastAsia="Arial" w:hAnsi="Arial"/>
          <w:sz w:val="22"/>
          <w:szCs w:val="22"/>
          <w:color w:val="auto"/>
        </w:rPr>
      </w:pPr>
    </w:p>
    <w:p>
      <w:pPr>
        <w:jc w:val="both"/>
        <w:ind w:left="669" w:hanging="669"/>
        <w:spacing w:after="0" w:line="257" w:lineRule="auto"/>
        <w:tabs>
          <w:tab w:leader="none" w:pos="669" w:val="left"/>
        </w:tabs>
        <w:numPr>
          <w:ilvl w:val="0"/>
          <w:numId w:val="8"/>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self-regulatory association or any other authority, and provide a copy as required by law or advisable to such persons as the attorney-in-fact deems appropriate; and</w:t>
      </w:r>
    </w:p>
    <w:p>
      <w:pPr>
        <w:spacing w:after="0" w:line="187" w:lineRule="exact"/>
        <w:rPr>
          <w:rFonts w:ascii="Arial" w:cs="Arial" w:eastAsia="Arial" w:hAnsi="Arial"/>
          <w:sz w:val="22"/>
          <w:szCs w:val="22"/>
          <w:color w:val="auto"/>
        </w:rPr>
      </w:pPr>
    </w:p>
    <w:p>
      <w:pPr>
        <w:jc w:val="both"/>
        <w:ind w:left="669" w:hanging="669"/>
        <w:spacing w:after="0" w:line="257" w:lineRule="auto"/>
        <w:tabs>
          <w:tab w:leader="none" w:pos="669" w:val="left"/>
        </w:tabs>
        <w:numPr>
          <w:ilvl w:val="0"/>
          <w:numId w:val="8"/>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rFonts w:ascii="Arial" w:cs="Arial" w:eastAsia="Arial" w:hAnsi="Arial"/>
          <w:sz w:val="22"/>
          <w:szCs w:val="22"/>
          <w:color w:val="auto"/>
        </w:rPr>
      </w:pPr>
    </w:p>
    <w:p>
      <w:pPr>
        <w:ind w:left="669"/>
        <w:spacing w:after="0"/>
        <w:rPr>
          <w:rFonts w:ascii="Arial" w:cs="Arial" w:eastAsia="Arial" w:hAnsi="Arial"/>
          <w:sz w:val="22"/>
          <w:szCs w:val="22"/>
          <w:color w:val="auto"/>
        </w:rPr>
      </w:pPr>
      <w:r>
        <w:rPr>
          <w:rFonts w:ascii="Arial" w:cs="Arial" w:eastAsia="Arial" w:hAnsi="Arial"/>
          <w:sz w:val="20"/>
          <w:szCs w:val="20"/>
          <w:color w:val="auto"/>
        </w:rPr>
        <w:t>The undersigned hereby grants to each attorney-in-fact full power and authority to do and perform all and every act</w:t>
      </w:r>
    </w:p>
    <w:p>
      <w:pPr>
        <w:spacing w:after="0" w:line="52" w:lineRule="exact"/>
        <w:rPr>
          <w:sz w:val="20"/>
          <w:szCs w:val="20"/>
          <w:color w:val="auto"/>
        </w:rPr>
      </w:pPr>
    </w:p>
    <w:p>
      <w:pPr>
        <w:jc w:val="both"/>
        <w:ind w:left="9"/>
        <w:spacing w:after="0" w:line="265" w:lineRule="auto"/>
        <w:rPr>
          <w:sz w:val="20"/>
          <w:szCs w:val="20"/>
          <w:color w:val="auto"/>
        </w:rPr>
      </w:pPr>
      <w:r>
        <w:rPr>
          <w:rFonts w:ascii="Arial" w:cs="Arial" w:eastAsia="Arial" w:hAnsi="Arial"/>
          <w:sz w:val="21"/>
          <w:szCs w:val="21"/>
          <w:color w:val="auto"/>
        </w:rPr>
        <w:t>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or the attorney-in-facts substitutes or substitute,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Forum Energy Technologies, Inc. assuming) any of the undersigned’s responsibilities to comply with Section 16 of the Securities Exchange Act of 1934.</w:t>
      </w:r>
    </w:p>
    <w:p>
      <w:pPr>
        <w:spacing w:after="0" w:line="185" w:lineRule="exact"/>
        <w:rPr>
          <w:sz w:val="20"/>
          <w:szCs w:val="20"/>
          <w:color w:val="auto"/>
        </w:rPr>
      </w:pPr>
    </w:p>
    <w:p>
      <w:pPr>
        <w:jc w:val="both"/>
        <w:ind w:left="9" w:firstLine="667"/>
        <w:spacing w:after="0" w:line="288" w:lineRule="auto"/>
        <w:rPr>
          <w:sz w:val="20"/>
          <w:szCs w:val="20"/>
          <w:color w:val="auto"/>
        </w:rPr>
      </w:pPr>
      <w:r>
        <w:rPr>
          <w:rFonts w:ascii="Arial" w:cs="Arial" w:eastAsia="Arial" w:hAnsi="Arial"/>
          <w:sz w:val="20"/>
          <w:szCs w:val="20"/>
          <w:color w:val="auto"/>
        </w:rPr>
        <w:t>The undersigned agrees that each such attorney-in-fact may rely entirely on information furnished orally or in writing by or at the direction of the undersigned to the attorney-in-fact. The undersigned also agrees to indemnify and hold harmless Forum Energy Technologies, Inc.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w:t>
      </w:r>
    </w:p>
    <w:p>
      <w:pPr>
        <w:spacing w:after="0" w:line="377" w:lineRule="exact"/>
        <w:rPr>
          <w:sz w:val="20"/>
          <w:szCs w:val="20"/>
          <w:color w:val="auto"/>
        </w:rPr>
      </w:pPr>
    </w:p>
    <w:p>
      <w:pPr>
        <w:jc w:val="center"/>
        <w:ind w:right="-8"/>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949"/>
          </w:cols>
          <w:pgMar w:left="471" w:top="132" w:right="47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22"/>
          <w:szCs w:val="22"/>
          <w:color w:val="auto"/>
        </w:rPr>
        <w:t>delivery of information by or at the direction of the undersigned, to such attorney-in-fact for purposes of executing, acknowledging, delivering or filing Forms 3, 4 or 5, Form 144 or Schedule 13D or 13G (including amendments thereto) and agrees to reimburse Forum Energy Technologies, Inc. and such attorney-in-fact on demand for any legal or other expenses reasonably incurred in connection with investigating or defending against any such loss, claim, damage, liability or action.</w:t>
      </w:r>
    </w:p>
    <w:p>
      <w:pPr>
        <w:spacing w:after="0" w:line="187" w:lineRule="exact"/>
        <w:rPr>
          <w:sz w:val="20"/>
          <w:szCs w:val="20"/>
          <w:color w:val="auto"/>
        </w:rPr>
      </w:pPr>
    </w:p>
    <w:p>
      <w:pPr>
        <w:jc w:val="both"/>
        <w:ind w:firstLine="667"/>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Forum Energy Technologies, Inc., unless earlier revoked by the undersigned in a signed writing delivered to the foregoing attorneys-in-fact. This Power of Attorney revokes all other powers of attorney that the undersigned has previously granted concerning the matters described herein.</w:t>
      </w:r>
    </w:p>
    <w:p>
      <w:pPr>
        <w:spacing w:after="0" w:line="162" w:lineRule="exact"/>
        <w:rPr>
          <w:sz w:val="20"/>
          <w:szCs w:val="20"/>
          <w:color w:val="auto"/>
        </w:rPr>
      </w:pPr>
    </w:p>
    <w:p>
      <w:pPr>
        <w:jc w:val="both"/>
        <w:ind w:firstLine="759"/>
        <w:spacing w:after="0" w:line="277" w:lineRule="auto"/>
        <w:rPr>
          <w:sz w:val="20"/>
          <w:szCs w:val="20"/>
          <w:color w:val="auto"/>
        </w:rPr>
      </w:pPr>
      <w:r>
        <w:rPr>
          <w:rFonts w:ascii="Arial" w:cs="Arial" w:eastAsia="Arial" w:hAnsi="Arial"/>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 Neal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-13970</wp:posOffset>
            </wp:positionV>
            <wp:extent cx="1261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213"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Neal Lux</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May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sectPr>
      <w:pgSz w:w="11900" w:h="16838" w:orient="portrait"/>
      <w:cols w:equalWidth="0" w:num="1">
        <w:col w:w="10940"/>
      </w:cols>
      <w:pgMar w:left="480" w:top="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lowerLetter"/>
      <w:start w:val="3"/>
    </w:lvl>
  </w:abstractNum>
  <w:abstractNum w:abstractNumId="7">
    <w:nsid w:val="7545E146"/>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2312" TargetMode="External"/><Relationship Id="rId11" Type="http://schemas.openxmlformats.org/officeDocument/2006/relationships/hyperlink" Target="http://www.sec.gov/cgi-bin/browse-edgar?action=getcompany&amp;CIK=0001401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2020-05-18T16:42:51Z</dcterms:created>
  <dcterms:modified xsi:type="dcterms:W3CDTF">2020-05-18T16:42:51Z</dcterms:modified>
</cp:coreProperties>
</file>