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filed with the Securities and Exchange Commission on August 28, 2026</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Registration No. 333-</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pPr>
      <w:r>
        <w:rPr>
          <w:rFonts w:ascii="Times New Roman;serif" w:hAnsi="Times New Roman;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Form S-3</w:t>
      </w:r>
    </w:p>
    <w:p>
      <w:pPr>
        <w:pStyle w:val="TextBody"/>
        <w:bidi w:val="0"/>
        <w:spacing w:lineRule="auto" w:line="288" w:before="0" w:after="0"/>
        <w:jc w:val="center"/>
        <w:rPr/>
      </w:pPr>
      <w:r>
        <w:rPr>
          <w:rFonts w:ascii="Times New Roman;serif" w:hAnsi="Times New Roman;serif"/>
          <w:b/>
          <w:color w:val="000000"/>
          <w:sz w:val="32"/>
        </w:rPr>
        <w:t>REGISTRATION STATEMENT</w:t>
      </w:r>
      <w:r>
        <w:rPr>
          <w:color w:val="000000"/>
        </w:rPr>
        <w:t xml:space="preserve">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UNDER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THE SECURITIES ACT OF 1933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FORUM ENERGY TECHNOLOGIES,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4181" w:type="dxa"/>
        <w:jc w:val="left"/>
        <w:tblInd w:w="0" w:type="dxa"/>
        <w:tblLayout w:type="fixed"/>
        <w:tblCellMar>
          <w:top w:w="28" w:type="dxa"/>
          <w:left w:w="28" w:type="dxa"/>
          <w:bottom w:w="28" w:type="dxa"/>
          <w:right w:w="28" w:type="dxa"/>
        </w:tblCellMar>
      </w:tblPr>
      <w:tblGrid>
        <w:gridCol w:w="857"/>
        <w:gridCol w:w="753"/>
        <w:gridCol w:w="760"/>
        <w:gridCol w:w="109"/>
        <w:gridCol w:w="109"/>
        <w:gridCol w:w="109"/>
        <w:gridCol w:w="432"/>
        <w:gridCol w:w="432"/>
        <w:gridCol w:w="620"/>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61-1488595</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10344 Sam Houston Park Drive, Suite 300</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Houston, Texas 77064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(281) 949-2500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including zip code, and telephone number, including area code, of registrant’s principal executive offices)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John C. Ivascu</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Executive Vice President, General Counsel, Chief Compliance Officer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Corporate Secretary</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Forum Energy Technologies,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10344 Sam Houston Park Drive, Suite 300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Houston, Texas 77064</w:t>
      </w:r>
    </w:p>
    <w:p>
      <w:pPr>
        <w:pStyle w:val="TextBody"/>
        <w:bidi w:val="0"/>
        <w:spacing w:lineRule="auto" w:line="288" w:before="0" w:after="0"/>
        <w:jc w:val="center"/>
        <w:rPr/>
      </w:pPr>
      <w:r>
        <w:rPr>
          <w:rFonts w:ascii="Times New Roman;serif" w:hAnsi="Times New Roman;serif"/>
          <w:b/>
          <w:color w:val="000000"/>
          <w:sz w:val="18"/>
        </w:rPr>
        <w:t>(281) 949-2500</w:t>
      </w:r>
      <w:r>
        <w:rPr>
          <w:color w:val="000000"/>
        </w:rPr>
        <w: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(Name, address, including zip code, and telephone number, including area code, of agent for service)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i/>
          <w:color w:val="000000"/>
          <w:sz w:val="18"/>
        </w:rPr>
      </w:pPr>
      <w:r>
        <w:rPr>
          <w:rFonts w:ascii="Times New Roman;serif" w:hAnsi="Times New Roman;serif"/>
          <w:b/>
          <w:i/>
          <w:color w:val="000000"/>
          <w:sz w:val="18"/>
        </w:rPr>
        <w:t xml:space="preserve">Copies to: </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Tull R. Florey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Gibson, Dunn &amp; Crutcher LLP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811 Main Street, Suite 3000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Houston, Texas 77002 </w:t>
      </w:r>
    </w:p>
    <w:p>
      <w:pPr>
        <w:pStyle w:val="TextBody"/>
        <w:bidi w:val="0"/>
        <w:spacing w:lineRule="auto" w:line="288" w:before="0" w:after="0"/>
        <w:jc w:val="center"/>
        <w:rPr/>
      </w:pPr>
      <w:r>
        <w:rPr>
          <w:rFonts w:ascii="Times New Roman;serif" w:hAnsi="Times New Roman;serif"/>
          <w:b/>
          <w:color w:val="000000"/>
          <w:sz w:val="18"/>
        </w:rPr>
        <w:t>(346) 718-6600</w:t>
      </w: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color w:val="000000"/>
          <w:sz w:val="18"/>
        </w:rPr>
        <w:t>Approximate date of commencement of proposed sale to the public:</w:t>
      </w:r>
      <w:r>
        <w:rPr>
          <w:color w:val="000000"/>
        </w:rPr>
        <w:t xml:space="preserve"> </w:t>
      </w:r>
      <w:r>
        <w:rPr>
          <w:rFonts w:ascii="Times New Roman;serif" w:hAnsi="Times New Roman;serif"/>
          <w:b w:val="false"/>
          <w:color w:val="000000"/>
          <w:sz w:val="18"/>
        </w:rPr>
        <w:t xml:space="preserve">From time to time after the effective date of this registration statement.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If the only securities being registered on this Form are being offered pursuant to dividend or interest reinvestment plans, please check the following box. ☐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left"/>
        <w:rPr>
          <w:color w:val="000000"/>
        </w:rPr>
      </w:pPr>
      <w:r>
        <w:rPr>
          <w:color w:val="000000"/>
        </w:rPr>
        <w:t> </w:t>
      </w:r>
    </w:p>
    <w:tbl>
      <w:tblPr>
        <w:tblW w:w="5580"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709"/>
        <w:gridCol w:w="709"/>
        <w:gridCol w:w="712"/>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20" w:after="283"/>
        <w:jc w:val="left"/>
        <w:rPr/>
      </w:pPr>
      <w:r>
        <w:rPr/>
      </w:r>
    </w:p>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53" w:after="30"/>
              <w:jc w:val="left"/>
              <w:rPr/>
            </w:pPr>
            <w:r>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Prospectus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drawing>
          <wp:inline distT="0" distB="0" distL="0" distR="0">
            <wp:extent cx="1552575" cy="7334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552575" cy="73342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Preferred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Debt Securities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Warrants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or selling securityholders may offer from time to time an indeterminate amount of our common stock, $0.01 par value per share (“Common Stock”), preferred stock, $0.01 par value per share (“Preferred Stock”), debt securities (which may be senior, senior subordinated or subordinated) and warrants. We refer to these shares of Common Stock, shares of Preferred Stock, debt securities and warrants collectively as the “securities.” The securities may be convertible into or exercisable or exchangeable for other securities. This prospectus describes the general terms of these securities and the general manner in which we or any of the selling securityholders will offer these securities. Each time we or any of the selling securityholders sell securities pursuant to this prospectus, we will provide a supplement to this prospectus that contains specific information about the offering and the specific terms of the securities offered. The prospectus supplement will also describe the specific manner in which we or any of the selling securityholders will offer the securities. Any prospectus supplement may also add, update or change information contained in this prospectus. You should carefully read this prospectus, and any applicable prospectus supplement, as well as the documents incorporated by reference herein or therein, before you invest in any of our securities.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New York Stock Exchange (“NYSE”) and the NYSE Texas, Inc. (“NYSE Texas”) under the symbol “FET.” </w:t>
      </w:r>
    </w:p>
    <w:p>
      <w:pPr>
        <w:pStyle w:val="TextBody"/>
        <w:bidi w:val="0"/>
        <w:spacing w:lineRule="auto" w:line="288" w:before="240" w:after="283"/>
        <w:jc w:val="both"/>
        <w:rPr/>
      </w:pPr>
      <w:r>
        <w:rPr>
          <w:color w:val="000000"/>
        </w:rPr>
        <w:t>     </w:t>
      </w:r>
      <w:r>
        <w:rPr>
          <w:rFonts w:ascii="Times New Roman;serif" w:hAnsi="Times New Roman;serif"/>
          <w:b/>
          <w:color w:val="000000"/>
          <w:sz w:val="24"/>
        </w:rPr>
        <w:t>See the section entitled “</w:t>
      </w:r>
      <w:hyperlink w:anchor="i1632d641e019460a949d5067b6f0b8b2_63">
        <w:r>
          <w:rPr>
            <w:rStyle w:val="InternetLink"/>
            <w:rFonts w:ascii="Times New Roman;serif" w:hAnsi="Times New Roman;serif"/>
            <w:b/>
            <w:color w:val="0000EE"/>
            <w:sz w:val="24"/>
            <w:u w:val="single"/>
          </w:rPr>
          <w:t>Risk Factors</w:t>
        </w:r>
      </w:hyperlink>
      <w:r>
        <w:rPr>
          <w:color w:val="000000"/>
        </w:rPr>
        <w:t xml:space="preserve">” </w:t>
      </w:r>
      <w:r>
        <w:rPr>
          <w:rFonts w:ascii="Times New Roman;serif" w:hAnsi="Times New Roman;serif"/>
          <w:b/>
          <w:color w:val="000000"/>
          <w:sz w:val="24"/>
        </w:rPr>
        <w:t xml:space="preserve">beginning on page </w:t>
      </w:r>
      <w:hyperlink w:anchor="i1632d641e019460a949d5067b6f0b8b2_63">
        <w:r>
          <w:rPr>
            <w:rStyle w:val="InternetLink"/>
            <w:rFonts w:ascii="Times New Roman;serif" w:hAnsi="Times New Roman;serif"/>
            <w:b/>
            <w:color w:val="0000FF"/>
            <w:sz w:val="24"/>
            <w:u w:val="single"/>
          </w:rPr>
          <w:t>7</w:t>
        </w:r>
      </w:hyperlink>
      <w:r>
        <w:rPr>
          <w:color w:val="000000"/>
        </w:rPr>
        <w:t xml:space="preserve"> </w:t>
      </w:r>
      <w:r>
        <w:rPr>
          <w:rFonts w:ascii="Times New Roman;serif" w:hAnsi="Times New Roman;serif"/>
          <w:b/>
          <w:color w:val="000000"/>
          <w:sz w:val="24"/>
        </w:rPr>
        <w:t xml:space="preserve">of this prospectus and any similar section contained in any applicable prospectus supplement to read about factors you should consider before buying our securities. </w:t>
      </w:r>
    </w:p>
    <w:p>
      <w:pPr>
        <w:pStyle w:val="TextBody"/>
        <w:bidi w:val="0"/>
        <w:spacing w:lineRule="auto" w:line="288" w:before="240" w:after="283"/>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This prospectus is dated August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4668" w:type="dxa"/>
        <w:jc w:val="left"/>
        <w:tblInd w:w="0" w:type="dxa"/>
        <w:tblLayout w:type="fixed"/>
        <w:tblCellMar>
          <w:top w:w="28" w:type="dxa"/>
          <w:left w:w="28" w:type="dxa"/>
          <w:bottom w:w="28" w:type="dxa"/>
          <w:right w:w="28" w:type="dxa"/>
        </w:tblCellMar>
      </w:tblPr>
      <w:tblGrid>
        <w:gridCol w:w="1199"/>
        <w:gridCol w:w="1055"/>
        <w:gridCol w:w="1061"/>
        <w:gridCol w:w="109"/>
        <w:gridCol w:w="109"/>
        <w:gridCol w:w="109"/>
        <w:gridCol w:w="109"/>
        <w:gridCol w:w="109"/>
        <w:gridCol w:w="109"/>
        <w:gridCol w:w="109"/>
        <w:gridCol w:w="109"/>
        <w:gridCol w:w="109"/>
        <w:gridCol w:w="109"/>
        <w:gridCol w:w="109"/>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33" w:after="30"/>
              <w:ind w:left="0" w:right="0" w:hanging="200"/>
              <w:jc w:val="left"/>
              <w:rPr/>
            </w:pPr>
            <w:hyperlink w:anchor="i1632d641e019460a949d5067b6f0b8b2_51">
              <w:r>
                <w:rPr>
                  <w:rStyle w:val="InternetLink"/>
                  <w:rFonts w:ascii="Times New Roman;serif" w:hAnsi="Times New Roman;serif"/>
                  <w:b w:val="false"/>
                  <w:color w:val="000000"/>
                  <w:sz w:val="20"/>
                  <w:u w:val="single"/>
                </w:rPr>
                <w:t>About This Prospectus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ind w:left="0" w:right="0" w:hanging="200"/>
              <w:jc w:val="center"/>
              <w:rPr/>
            </w:pPr>
            <w:hyperlink w:anchor="i1632d641e019460a949d5067b6f0b8b2_51">
              <w:r>
                <w:rPr>
                  <w:rStyle w:val="InternetLink"/>
                  <w:rFonts w:ascii="Times New Roman;serif" w:hAnsi="Times New Roman;serif"/>
                  <w:b w:val="false"/>
                  <w:color w:val="000000"/>
                  <w:sz w:val="20"/>
                  <w:u w:val="single"/>
                </w:rPr>
                <w:t>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632d641e019460a949d5067b6f0b8b2_54">
              <w:r>
                <w:rPr>
                  <w:rStyle w:val="InternetLink"/>
                  <w:rFonts w:ascii="Times New Roman;serif" w:hAnsi="Times New Roman;serif"/>
                  <w:b w:val="false"/>
                  <w:color w:val="000000"/>
                  <w:sz w:val="20"/>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632d641e019460a949d5067b6f0b8b2_54">
              <w:r>
                <w:rPr>
                  <w:rStyle w:val="InternetLink"/>
                  <w:rFonts w:ascii="Times New Roman;serif" w:hAnsi="Times New Roman;serif"/>
                  <w:b w:val="false"/>
                  <w:color w:val="000000"/>
                  <w:sz w:val="20"/>
                  <w:u w:val="single"/>
                </w:rPr>
                <w:t>2</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632d641e019460a949d5067b6f0b8b2_57">
              <w:r>
                <w:rPr>
                  <w:rStyle w:val="InternetLink"/>
                  <w:rFonts w:ascii="Times New Roman;serif" w:hAnsi="Times New Roman;serif"/>
                  <w:b w:val="false"/>
                  <w:color w:val="000000"/>
                  <w:sz w:val="20"/>
                  <w:u w:val="single"/>
                </w:rPr>
                <w:t>Where You Can Find More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632d641e019460a949d5067b6f0b8b2_57">
              <w:r>
                <w:rPr>
                  <w:rStyle w:val="InternetLink"/>
                  <w:rFonts w:ascii="Times New Roman;serif" w:hAnsi="Times New Roman;serif"/>
                  <w:b w:val="false"/>
                  <w:color w:val="000000"/>
                  <w:sz w:val="20"/>
                  <w:u w:val="single"/>
                </w:rPr>
                <w:t>4</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632d641e019460a949d5067b6f0b8b2_60">
              <w:r>
                <w:rPr>
                  <w:rStyle w:val="InternetLink"/>
                  <w:rFonts w:ascii="Times New Roman;serif" w:hAnsi="Times New Roman;serif"/>
                  <w:b w:val="false"/>
                  <w:color w:val="000000"/>
                  <w:sz w:val="20"/>
                  <w:u w:val="single"/>
                </w:rPr>
                <w:t>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632d641e019460a949d5067b6f0b8b2_60">
              <w:r>
                <w:rPr>
                  <w:rStyle w:val="InternetLink"/>
                  <w:rFonts w:ascii="Times New Roman;serif" w:hAnsi="Times New Roman;serif"/>
                  <w:b w:val="false"/>
                  <w:color w:val="000000"/>
                  <w:sz w:val="20"/>
                  <w:u w:val="single"/>
                </w:rPr>
                <w:t>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632d641e019460a949d5067b6f0b8b2_63">
              <w:r>
                <w:rPr>
                  <w:rStyle w:val="InternetLink"/>
                  <w:rFonts w:ascii="Times New Roman;serif" w:hAnsi="Times New Roman;serif"/>
                  <w:b w:val="false"/>
                  <w:color w:val="000000"/>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632d641e019460a949d5067b6f0b8b2_63">
              <w:r>
                <w:rPr>
                  <w:rStyle w:val="InternetLink"/>
                  <w:rFonts w:ascii="Times New Roman;serif" w:hAnsi="Times New Roman;serif"/>
                  <w:b w:val="false"/>
                  <w:color w:val="000000"/>
                  <w:sz w:val="20"/>
                  <w:u w:val="single"/>
                </w:rPr>
                <w:t>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632d641e019460a949d5067b6f0b8b2_66">
              <w:r>
                <w:rPr>
                  <w:rStyle w:val="InternetLink"/>
                  <w:rFonts w:ascii="Times New Roman;serif" w:hAnsi="Times New Roman;serif"/>
                  <w:b w:val="false"/>
                  <w:color w:val="000000"/>
                  <w:sz w:val="20"/>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632d641e019460a949d5067b6f0b8b2_66">
              <w:r>
                <w:rPr>
                  <w:rStyle w:val="InternetLink"/>
                  <w:rFonts w:ascii="Times New Roman;serif" w:hAnsi="Times New Roman;serif"/>
                  <w:b w:val="false"/>
                  <w:color w:val="000000"/>
                  <w:sz w:val="20"/>
                  <w:u w:val="single"/>
                </w:rPr>
                <w:t>8</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632d641e019460a949d5067b6f0b8b2_69">
              <w:r>
                <w:rPr>
                  <w:rStyle w:val="InternetLink"/>
                  <w:rFonts w:ascii="Times New Roman;serif" w:hAnsi="Times New Roman;serif"/>
                  <w:b w:val="false"/>
                  <w:color w:val="000000"/>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632d641e019460a949d5067b6f0b8b2_69">
              <w:r>
                <w:rPr>
                  <w:rStyle w:val="InternetLink"/>
                  <w:rFonts w:ascii="Times New Roman;serif" w:hAnsi="Times New Roman;serif"/>
                  <w:b w:val="false"/>
                  <w:color w:val="000000"/>
                  <w:sz w:val="20"/>
                  <w:u w:val="single"/>
                </w:rPr>
                <w:t>9</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632d641e019460a949d5067b6f0b8b2_72">
              <w:r>
                <w:rPr>
                  <w:rStyle w:val="InternetLink"/>
                  <w:rFonts w:ascii="Times New Roman;serif" w:hAnsi="Times New Roman;serif"/>
                  <w:b w:val="false"/>
                  <w:color w:val="000080"/>
                  <w:sz w:val="20"/>
                  <w:u w:val="single"/>
                </w:rPr>
                <w:t>Description of Deb</w:t>
              </w:r>
            </w:hyperlink>
            <w:hyperlink w:anchor="i1632d641e019460a949d5067b6f0b8b2_72">
              <w:r>
                <w:rPr>
                  <w:rStyle w:val="InternetLink"/>
                  <w:rFonts w:ascii="Times New Roman;serif" w:hAnsi="Times New Roman;serif"/>
                  <w:b w:val="false"/>
                  <w:color w:val="000080"/>
                  <w:sz w:val="20"/>
                  <w:u w:val="single"/>
                </w:rPr>
                <w:t>t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632d641e019460a949d5067b6f0b8b2_72">
              <w:r>
                <w:rPr>
                  <w:rStyle w:val="InternetLink"/>
                  <w:rFonts w:ascii="Times New Roman;serif" w:hAnsi="Times New Roman;serif"/>
                  <w:b w:val="false"/>
                  <w:color w:val="000000"/>
                  <w:sz w:val="20"/>
                  <w:u w:val="single"/>
                </w:rPr>
                <w:t>13</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632d641e019460a949d5067b6f0b8b2_75">
              <w:r>
                <w:rPr>
                  <w:rStyle w:val="InternetLink"/>
                  <w:rFonts w:ascii="Times New Roman;serif" w:hAnsi="Times New Roman;serif"/>
                  <w:b w:val="false"/>
                  <w:color w:val="000000"/>
                  <w:sz w:val="20"/>
                  <w:u w:val="single"/>
                </w:rPr>
                <w:t>Description of Warrants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632d641e019460a949d5067b6f0b8b2_75">
              <w:r>
                <w:rPr>
                  <w:rStyle w:val="InternetLink"/>
                  <w:rFonts w:ascii="Times New Roman;serif" w:hAnsi="Times New Roman;serif"/>
                  <w:b w:val="false"/>
                  <w:color w:val="000000"/>
                  <w:sz w:val="20"/>
                  <w:u w:val="single"/>
                </w:rPr>
                <w:t>14</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632d641e019460a949d5067b6f0b8b2_78">
              <w:r>
                <w:rPr>
                  <w:rStyle w:val="InternetLink"/>
                  <w:rFonts w:ascii="Times New Roman;serif" w:hAnsi="Times New Roman;serif"/>
                  <w:b w:val="false"/>
                  <w:color w:val="000000"/>
                  <w:sz w:val="20"/>
                  <w:u w:val="single"/>
                </w:rPr>
                <w:t>Selling Securityholders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632d641e019460a949d5067b6f0b8b2_78">
              <w:r>
                <w:rPr>
                  <w:rStyle w:val="InternetLink"/>
                  <w:rFonts w:ascii="Times New Roman;serif" w:hAnsi="Times New Roman;serif"/>
                  <w:b w:val="false"/>
                  <w:color w:val="000000"/>
                  <w:sz w:val="20"/>
                  <w:u w:val="single"/>
                </w:rPr>
                <w:t>15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632d641e019460a949d5067b6f0b8b2_78">
              <w:r>
                <w:rPr>
                  <w:rStyle w:val="InternetLink"/>
                  <w:rFonts w:ascii="Times New Roman;serif" w:hAnsi="Times New Roman;serif"/>
                  <w:b w:val="false"/>
                  <w:color w:val="000000"/>
                  <w:sz w:val="20"/>
                  <w:u w:val="single"/>
                </w:rPr>
                <w:t>Plan of Distribution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632d641e019460a949d5067b6f0b8b2_78">
              <w:r>
                <w:rPr>
                  <w:rStyle w:val="InternetLink"/>
                  <w:rFonts w:ascii="Times New Roman;serif" w:hAnsi="Times New Roman;serif"/>
                  <w:b w:val="false"/>
                  <w:color w:val="000000"/>
                  <w:sz w:val="20"/>
                  <w:u w:val="single"/>
                </w:rPr>
                <w:t>15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632d641e019460a949d5067b6f0b8b2_78">
              <w:r>
                <w:rPr>
                  <w:rStyle w:val="InternetLink"/>
                  <w:rFonts w:ascii="Times New Roman;serif" w:hAnsi="Times New Roman;serif"/>
                  <w:b w:val="false"/>
                  <w:color w:val="000000"/>
                  <w:sz w:val="20"/>
                  <w:u w:val="single"/>
                </w:rPr>
                <w:t>Legal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632d641e019460a949d5067b6f0b8b2_78">
              <w:r>
                <w:rPr>
                  <w:rStyle w:val="InternetLink"/>
                  <w:rFonts w:ascii="Times New Roman;serif" w:hAnsi="Times New Roman;serif"/>
                  <w:b w:val="false"/>
                  <w:color w:val="000000"/>
                  <w:sz w:val="20"/>
                  <w:u w:val="single"/>
                </w:rPr>
                <w:t>15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632d641e019460a949d5067b6f0b8b2_78">
              <w:r>
                <w:rPr>
                  <w:rStyle w:val="InternetLink"/>
                  <w:rFonts w:ascii="Times New Roman;serif" w:hAnsi="Times New Roman;serif"/>
                  <w:b w:val="false"/>
                  <w:color w:val="000000"/>
                  <w:sz w:val="20"/>
                  <w:u w:val="single"/>
                </w:rPr>
                <w:t>Experts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632d641e019460a949d5067b6f0b8b2_78">
              <w:r>
                <w:rPr>
                  <w:rStyle w:val="InternetLink"/>
                  <w:rFonts w:ascii="Times New Roman;serif" w:hAnsi="Times New Roman;serif"/>
                  <w:b w:val="false"/>
                  <w:color w:val="000000"/>
                  <w:sz w:val="20"/>
                  <w:u w:val="single"/>
                </w:rPr>
                <w:t>15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You should rely only on the information contained or incorporated by reference in this prospectus and any prospectus supplement. We have not authorized any dealer, salesperson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in this prospectus or any prospectus supplement or in any document incorporated by reference in this prospectus or any prospectus supplement is accurate as of any date other than the date of the document containing the information. </w:t>
      </w:r>
    </w:p>
    <w:p>
      <w:pPr>
        <w:pStyle w:val="TextBody"/>
        <w:bidi w:val="0"/>
        <w:spacing w:lineRule="auto" w:line="288" w:before="240" w:after="283"/>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You should read carefully the entire prospectus, as well as the documents incorporated by reference in the prospectus and the applicable prospectus supplement, before making an investment decision. </w:t>
      </w:r>
    </w:p>
    <w:p>
      <w:pPr>
        <w:pStyle w:val="TextBody"/>
        <w:bidi w:val="0"/>
        <w:spacing w:lineRule="auto" w:line="288" w:before="240" w:after="283"/>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Unless the context requires otherwise or unless otherwise noted, all references in this prospectus or any accompanying prospectus supplement to “FET,” “Forum,” “Company,” “we,” “us” or “our” are to Forum Energy Technologies, Inc. and, as applicable, its subsidiaries.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Securities and Exchange Commission (the “SEC”) using a “shelf” registration process. Under this shelf registration process, we may, from time to time, offer and sell any combination of the securities described in this prospectus in one or more offerings. In addition, selling securityholders identified in a prospectus supplement may, from time to time, sell securities described in this prospectus. This prospectus provides you with a general description of the securities that we or the selling securityholders may offer. Each time we or any selling securityholders use this prospectus to offer securities, we will provide one or more prospectus supplements that will contain specific information about the terms of that offering. A prospectus supplement may also add to, update or change the information contained in this prospectus. You should read both this prospectus and any prospectus supplement together with the additional information described under the heading “Where You Can Find More Information” below. Neither we nor the selling securityholders have authorized anyone else to provide you with any information other than that included or incorporated by reference in this prospectus and the applicable prospectus supplement and we can provide no assurance as to the reliability of such information. This prospectus is not making an offer to sell in any jurisdiction in which the offer or sale is not permitted. You should not assume that the information in the prospectus, any prospectus supplement or any other document incorporated by reference in this prospectus is accurate as of any date other than the dates of those documents.</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Statements contained in this prospectus and the documents incorporated by reference herein that are not historical facts are forward-looking statements within the meaning of Section 27A of the Securities Act of 1933, as amended (the “Securities Act”), and Section 21E of the Securities Exchange Act of 1934, as amended (the “Exchange Act”). Such statements include those concerning our strategy, future operations, financial position, estimated revenues and losses, projected costs, prospects, plans, and objectives of management. When used in this prospectus, the words “will,” “could,” “believe,” “anticipate,” “intend,” “estimate,” “expect,” “may,” “continue,” “predict,” “potential,” “project” and similar expressions are intended to identify forward-looking statements, although not all forward-looking statements contain such identifying words.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may include, but are not limited to, statements about the following subjects: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business strategy;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cash flows and liquidity and ability to refinance our debt;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volatility and impact of changes in oil and natural gas prices;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availability of raw materials and specialized equipment;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accurately predict customer demand;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customer order cancellations or deferrals;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disputes over production levels among members of the Organization of Petroleum Exporting Countries and other allied oil and gas producing nations, which could result in increased volatility in prices for oil and natural gas that could affect the markets for our services;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disruptions to the operations and business of our key customers, suppliers and other counterparties, including impacts affecting our supply chain and logistics;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competition in the energy industry;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the occurrence of cybersecurity incidents, attacks or other breaches to our technology systems;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governmental regulation and taxation of the energy industry, including the application of tariffs by governmental authorities;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environmental liabilities;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political, social and economic issues affecting the countries in which we do business;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relative activities of U.S. and international operations;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deliver our backlog in a timely fashion;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implement new technologies and services;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availability, cost and terms of capital;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general economic and political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successfully manage our growth, including risks and uncertainties associated with integrating and retaining key employees of any businesses we acquire;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benefits, including our ability to achieve desired synergies and operational efficiencies, of our acquisitions;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availability of key management personnel;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availability of skilled and qualified labor;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operating hazards inherent in our industry;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ability to establish and maintain effective internal control over financial reporting;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financial strategy, budget, projections and operating results;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uncertainty regarding our future operating results;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other plans, objectives, expectations and intentions contained in or incorporated by reference into this prospectus that are not historical.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forward‐looking statement speaks only as of the date of the particular statement, and we undertake no obligation to publicly update or revise any forward‐looking statements, except as required by law, and you should not place undue reliance on these forward-looking statements. Although we believe that our plans, intentions and expectations reflected in or suggested by these forward-looking statements are reasonable, forward-looking statements are not guarantees of future performance and involve risks and uncertainties that may cause actual results to differ materially from our plans, intentions or expectations.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We disclose important factors that could cause our actual results to differ materially from our expectations under the section entitled “Risk Factors” beginning on page </w:t>
      </w:r>
      <w:hyperlink w:anchor="i1632d641e019460a949d5067b6f0b8b2_63">
        <w:r>
          <w:rPr>
            <w:rStyle w:val="InternetLink"/>
            <w:rFonts w:ascii="Times New Roman;serif" w:hAnsi="Times New Roman;serif"/>
            <w:b w:val="false"/>
            <w:color w:val="0000FF"/>
            <w:sz w:val="20"/>
            <w:u w:val="single"/>
          </w:rPr>
          <w:t>7</w:t>
        </w:r>
      </w:hyperlink>
      <w:r>
        <w:rPr>
          <w:color w:val="000000"/>
        </w:rPr>
        <w:t xml:space="preserve"> </w:t>
      </w:r>
      <w:r>
        <w:rPr>
          <w:rFonts w:ascii="Times New Roman;serif" w:hAnsi="Times New Roman;serif"/>
          <w:b w:val="false"/>
          <w:color w:val="000000"/>
          <w:sz w:val="20"/>
        </w:rPr>
        <w:t xml:space="preserve">of this prospectus, as well as the other documents that we incorporate by reference into this prospectus and any applicable prospectus supplement, including our most recent Annual Report on Form 10-K and in any subsequent Quarterly Reports on Form 10-Q and Current Reports on Form 8-K.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WHERE YOU CAN FIND MORE INFORMATION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the information we file with it, which means that we can disclose important information to you by referring you to another document that we have filed with the SEC. You should read the information incorporated by reference because it is an important part of this prospectus. We incorporate by reference the following information or documents that we have filed with the SEC: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our Annual Report on Form 10-K for the fiscal year ended December 31, 2025, filed with the SEC on </w:t>
      </w:r>
      <w:hyperlink r:id="rId3">
        <w:r>
          <w:rPr>
            <w:rStyle w:val="InternetLink"/>
            <w:rFonts w:ascii="Times New Roman;serif" w:hAnsi="Times New Roman;serif"/>
            <w:b w:val="false"/>
            <w:color w:val="0000FF"/>
            <w:sz w:val="20"/>
            <w:u w:val="single"/>
          </w:rPr>
          <w:t>February 27, 2026</w:t>
        </w:r>
      </w:hyperlink>
      <w:r>
        <w:rPr>
          <w:color w:val="000000"/>
        </w:rPr>
        <w:t xml:space="preserve"> </w:t>
      </w:r>
      <w:r>
        <w:rPr>
          <w:rFonts w:ascii="Times New Roman;serif" w:hAnsi="Times New Roman;serif"/>
          <w:b w:val="false"/>
          <w:color w:val="000000"/>
          <w:sz w:val="20"/>
        </w:rPr>
        <w:t xml:space="preserve">(including the portions of our proxy statement for our 2026 annual meeting of stockholders incorporated by reference therein);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our Quarterly Report on Form 10-Q for the quarters ended March 31, 2026 and June 30, 2026, filed with the SEC on </w:t>
      </w:r>
      <w:hyperlink r:id="rId4">
        <w:r>
          <w:rPr>
            <w:rStyle w:val="InternetLink"/>
            <w:rFonts w:ascii="Times New Roman;serif" w:hAnsi="Times New Roman;serif"/>
            <w:b w:val="false"/>
            <w:color w:val="0000FF"/>
            <w:sz w:val="20"/>
            <w:u w:val="single"/>
          </w:rPr>
          <w:t>May 1, 2026</w:t>
        </w:r>
      </w:hyperlink>
      <w:r>
        <w:rPr>
          <w:color w:val="000000"/>
        </w:rPr>
        <w:t xml:space="preserve"> </w:t>
      </w:r>
      <w:r>
        <w:rPr>
          <w:rFonts w:ascii="Times New Roman;serif" w:hAnsi="Times New Roman;serif"/>
          <w:b w:val="false"/>
          <w:color w:val="000000"/>
          <w:sz w:val="20"/>
        </w:rPr>
        <w:t xml:space="preserve">and </w:t>
      </w:r>
      <w:hyperlink r:id="rId5">
        <w:r>
          <w:rPr>
            <w:rStyle w:val="InternetLink"/>
            <w:rFonts w:ascii="Times New Roman;serif" w:hAnsi="Times New Roman;serif"/>
            <w:b w:val="false"/>
            <w:color w:val="0000FF"/>
            <w:sz w:val="20"/>
            <w:u w:val="single"/>
          </w:rPr>
          <w:t>July 31, 2026</w:t>
        </w:r>
      </w:hyperlink>
      <w:r>
        <w:rPr>
          <w:rFonts w:ascii="Times New Roman;serif" w:hAnsi="Times New Roman;serif"/>
          <w:b w:val="false"/>
          <w:color w:val="000000"/>
          <w:sz w:val="20"/>
        </w:rPr>
        <w:t>, respectively;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our Current Reports on Form 8-K filed with the SEC on </w:t>
      </w:r>
      <w:hyperlink r:id="rId6">
        <w:r>
          <w:rPr>
            <w:rStyle w:val="InternetLink"/>
            <w:rFonts w:ascii="Times New Roman;serif" w:hAnsi="Times New Roman;serif"/>
            <w:b w:val="false"/>
            <w:color w:val="0000FF"/>
            <w:sz w:val="20"/>
            <w:u w:val="single"/>
          </w:rPr>
          <w:t>January 12, 2026</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February 5, 2026</w:t>
        </w:r>
      </w:hyperlink>
      <w:r>
        <w:rPr>
          <w:color w:val="000000"/>
        </w:rPr>
        <w:t xml:space="preserve"> </w:t>
      </w:r>
      <w:r>
        <w:rPr>
          <w:rFonts w:ascii="Times New Roman;serif" w:hAnsi="Times New Roman;serif"/>
          <w:b w:val="false"/>
          <w:color w:val="000000"/>
          <w:sz w:val="20"/>
        </w:rPr>
        <w:t xml:space="preserve">and </w:t>
      </w:r>
      <w:hyperlink r:id="rId8">
        <w:r>
          <w:rPr>
            <w:rStyle w:val="InternetLink"/>
            <w:rFonts w:ascii="Times New Roman;serif" w:hAnsi="Times New Roman;serif"/>
            <w:b w:val="false"/>
            <w:color w:val="0000FF"/>
            <w:sz w:val="20"/>
            <w:u w:val="single"/>
          </w:rPr>
          <w:t>May 12, 2026</w:t>
        </w:r>
      </w:hyperlink>
      <w:r>
        <w:rPr>
          <w:rFonts w:ascii="Times New Roman;serif" w:hAnsi="Times New Roman;serif"/>
          <w:b w:val="false"/>
          <w:color w:val="000000"/>
          <w:sz w:val="20"/>
        </w:rPr>
        <w:t xml:space="preserve">; and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the description of our Common Stock contained in </w:t>
      </w:r>
      <w:hyperlink r:id="rId9">
        <w:r>
          <w:rPr>
            <w:rStyle w:val="InternetLink"/>
            <w:rFonts w:ascii="Times New Roman;serif" w:hAnsi="Times New Roman;serif"/>
            <w:b w:val="false"/>
            <w:color w:val="0000FF"/>
            <w:sz w:val="20"/>
            <w:u w:val="single"/>
          </w:rPr>
          <w:t>Exhibit 4.1</w:t>
        </w:r>
      </w:hyperlink>
      <w:r>
        <w:rPr>
          <w:color w:val="000000"/>
        </w:rPr>
        <w:t xml:space="preserve"> </w:t>
      </w:r>
      <w:r>
        <w:rPr>
          <w:rFonts w:ascii="Times New Roman;serif" w:hAnsi="Times New Roman;serif"/>
          <w:b w:val="false"/>
          <w:color w:val="000000"/>
          <w:sz w:val="20"/>
        </w:rPr>
        <w:t>to our Quarterly Report on Form 10-Q for the quarter ended June 30, 2025, filed with the SEC on August 8, 2025, together with any amendment or report filed with the SEC updating such description.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all documents subsequently filed by us with the SEC pursuant to Sections 13(a), 13(c), 14 or 15(d) of the Exchange Act (excluding any information “furnished” pursuant to Item 2.02 or Item 7.01 with the SEC on any Current Report on Form 8-K and other portions of documents that are “furnished,” but not “filed,” pursuant to applicable rules promulgated by the SEC, unless otherwise noted), prior to the completion or termination of the applicable offering under this prospectus and any applicable prospectus supplement, shall be deemed to be incorporated by reference into this prospectus.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information in any of the foregoing documents will automatically be deemed to be modified or superseded to the extent that information in this prospectus or in a later filed document that is incorporated or deemed to be incorporated herein by reference modifies or replaces such information.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We file annual, quarterly and other reports and other information with the SEC. The SEC maintains an Internet site (</w:t>
      </w:r>
      <w:r>
        <w:rPr>
          <w:rFonts w:ascii="Times New Roman;serif" w:hAnsi="Times New Roman;serif"/>
          <w:b w:val="false"/>
          <w:i/>
          <w:color w:val="000000"/>
          <w:sz w:val="20"/>
        </w:rPr>
        <w:t>www.sec.gov</w:t>
      </w:r>
      <w:r>
        <w:rPr>
          <w:rFonts w:ascii="Times New Roman;serif" w:hAnsi="Times New Roman;serif"/>
          <w:b w:val="false"/>
          <w:color w:val="000000"/>
          <w:sz w:val="20"/>
        </w:rPr>
        <w:t>) that contains reports, proxy and information statements and other information regarding issuers that file electronically with the SEC. You may inspect a copy of the registration statement through the SEC’s website. We make available free of charge on or through our Internet website,</w:t>
      </w:r>
      <w:r>
        <w:rPr>
          <w:color w:val="000000"/>
        </w:rPr>
        <w:t xml:space="preserve"> </w:t>
      </w:r>
      <w:r>
        <w:rPr>
          <w:rFonts w:ascii="Times New Roman;serif" w:hAnsi="Times New Roman;serif"/>
          <w:b w:val="false"/>
          <w:i/>
          <w:color w:val="000000"/>
          <w:sz w:val="20"/>
        </w:rPr>
        <w:t>www.f-e-t.com</w:t>
      </w:r>
      <w:r>
        <w:rPr>
          <w:rFonts w:ascii="Times New Roman;serif" w:hAnsi="Times New Roman;serif"/>
          <w:b w:val="false"/>
          <w:color w:val="000000"/>
          <w:sz w:val="20"/>
        </w:rPr>
        <w:t>,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Information contained on our Internet website is not a part of this prospectus and is not incorporated by reference into this prospectus (unless specifically incorporated by reference into this prospectus as described above).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This prospectus is part of a registration statement that we have filed with the SEC relating to the securities to be offered. This prospectus does not contain all of the information we have included in the registration statement and the accompanying exhibits and schedules in accordance with the rules and regulations of the SEC, and we refer you to the omitted information. The statements this prospectus makes pertaining to the content of any contract, agreement or other document that is an exhibit to the registration statement necessarily are summaries of their material provisions and do not describe all exceptions and qualifications contained in those contracts, agreements or documents. You should read those contracts, agreements or documents for information that may be important to you. The registration statement, exhibits and schedules are available through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You may obtain any of the documents incorporated by reference into this prospectus from the SEC through the SEC’s website at the address provided above. We will provide to each person, including any beneficial owner, to whom this prospectus is delivered a copy of any or all of the information that is incorporated by reference into this prospectus (excluding any exhibit to those documents, unless the exhibit is specifically incorporated by reference into such documents), at no cost, by visiting our Internet website at </w:t>
      </w:r>
      <w:r>
        <w:rPr>
          <w:rFonts w:ascii="Times New Roman;serif" w:hAnsi="Times New Roman;serif"/>
          <w:b w:val="false"/>
          <w:i/>
          <w:color w:val="000000"/>
          <w:sz w:val="20"/>
        </w:rPr>
        <w:t>www.f-e-t.com</w:t>
      </w:r>
      <w:r>
        <w:rPr>
          <w:rFonts w:ascii="Times New Roman;serif" w:hAnsi="Times New Roman;serif"/>
          <w:b w:val="false"/>
          <w:color w:val="000000"/>
          <w:sz w:val="20"/>
        </w:rPr>
        <w:t xml:space="preserve">, or by writing or calling us at the following address: </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Forum Energy Technologies, Inc.</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10344 Sam Houston Park Drive, Suite 300</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Houston, Texas 77064</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Telephone: (281) 949-2500</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 xml:space="preserve">We are a global manufacturing company serving the oil, natural gas, defense and renewable energy industries. With headquarters in Houston, Texas, FET optimizes customer operations by improving safety, increasing efficiency and reducing environmental impact. Our highly engineered products include capital equipment and consumable products. FET’s customers include oil and natural gas operators, oilfield service companies, pipeline and refinery operators, defense contractors and renewable energy companies. Consumable products are used by our customers in drilling, well construction and completion activities and at processing centers and refineries. Our capital products are directed at drilling rig equipment for constructing new or upgrading existing rigs, subsea construction and development projects, submarine rescue systems and equipment for military use, pressure pumping equipment, the placement of production equipment on new producing wells, downstream capital projects and capital equipment for renewable energy projects.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executive offices are located at 10344 Sam Houston Park Drive, Suite 300, Houston, Texas 77064, and our telephone number is (281) 949-2500. </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investment in our securities involves a significant degree of risk. Before you invest in our securities, you should carefully consider those risk factors included in our most recent Annual Report on Form 10-K and any subsequently filed Quarterly Reports on Form 10-Q and Current Reports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Additional risks and uncertainties not presently known to us or that we currently believe to be immaterial may also impair our business operations or adversely affect our results of operations or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the risks discussed in the foregoing documents were to occur, our business, financial condition, results of operations and cash flows could be materially adversely affected. You could lose all or part of your investment. When we offer and sell any securities pursuant to a prospectus supplement, we may include additional risk factors relevant to that offering in the prospectus supplement. Please read “Forward-Looking Statements.” </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specified otherwise in the applicable prospectus supplement, we expect to use the net proceeds we receive from the sale of the securities offered by this prospectus and any accompanying prospectus supplement for general corporate purposes, which may include,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repayment, refinancing or redemption of outstanding indebtedness or other securities;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working capital;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capital expenditures;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acquisitions of businesses or other assets.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precise amount and timing of the application of such proceeds will depend upon our funding requirements and the availability and cost of other capital. Pending any specific application, we may initially invest funds in short-term marketable securities or apply them to repayments of outstanding indebtedness.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by the selling securityholders of our securities under this prospectus and any accompanying prospectus supplement. Any proceeds from the sale of such securities under this prospectus and any accompanying prospectus supplement will be received by the selling securityholders.</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CAPITAL STOCK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prospectus, we are authorized to issue up to 33,300,000 shares of stock, including up to 29,600,000 shares of Common Stock and up to 3,700,000 shares of Preferred Stock.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key terms and provisions of our equity securities. You should refer to the applicable provisions of our Third Amended and Restated Certificate of Incorporation (as amended, our “Certificate of Incorporation”), our Third Amended and Restated Bylaws (our “Bylaws”), the Delaware General Corporation Law (“DGCL”) and the documents we have incorporated by reference for a complete statement of the terms and rights of our capital stock.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Except as provided by law or in a preferred stock designation, holders of our Common Stock are entitled to one vote for each share held of record on all matters submitted to a vote of the stockholders. Because holders of our Common Stock have the exclusive right to vote for the election of directors and do not have cumulative voting rights, the holders of a majority of the shares of our Common Stock can elect all of the members of the board of directors of the Company (the “Board”) standing for election, subject to the rights, powers and preferences of any outstanding series of Preferred Stock that we may issue in the future. The holders of our Common Stock are entitled to receive: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dividends as may be declared by the Board from time to time out of funds legally available for the payment of dividends;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Forum is liquidated, dissolved or wound up, all of our assets available for distribution to holders of our Common Stock after satisfaction of all of our liabilities and the prior rights of any outstanding class of Preferred Stock, pro rata, based on the number of shares held.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carries no preemptive or other subscription rights to purchase shares of Common Stock and is not convertible, redeemable or assessable or entitled to the benefits of any sinking fund.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Subject to the provisions of our Certificate of Incorporation and legal limitations, the Board will have the authority, without further vote or action by our stockholders, to issue shares of Preferred Stock in one or more series and to fix the rights, preferences, privileges and restrictions of our Preferred Stock, including provisions related to dividends, conversion, voting, redemption, liquidation and the number of shares constituting the series or the designation of that series, which may be superior to those of our Common Stock.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issuance of shares of Preferred Stock by the Board as described above, while providing desired flexibility in connection with possible acquisitions and other corporate purposes, may adversely affect the rights of the holders of our Common Stock. For example, Preferred Stock may rank prior to our Common Stock as to dividend rights, liquidation preference or both, may have full or limited voting rights and may be convertible into shares of our Common Stock. The issuance of shares of Preferred Stock may discourage third-party bids for our Common Stock or may otherwise adversely affect the market price of our Common Stock. In addition, Preferred Stock may enable the Board to make it more difficult or to discourage attempts to obtain control of us through a hostile tender offer, proxy contest, merger or otherwise, or to make changes in our management. Shares of Preferred Stock may be offered either separately or represented by depositary shares.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prospectus supplement relating to any series of Preferred Stock that we offer will include specific terms relating to the offering and the name of any transfer agent for that series. We will file the form of any Preferred Stock with the SEC before we issue Preferred Stock, and you should read the terms of such Preferred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 for provisions that may be important to you. The prospectus supplement will include some or all of the following terms: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title of the Preferred Stock;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maximum number of shares of the series;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dividend rate or the method of calculating the dividend, the date from which dividends will accrue and whether dividends will be cumulative;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terms for the conversion or exchange of the Preferred Stock for other securities of Forum or any other entity;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sinking fund or other provisions that would obligate us to redeem or purchase the Preferred Stock;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redemption provisions;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liquidation preference;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voting rights;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other preferences and relative, participating, optional or other special rights or any qualifications, limitations or restrictions on the rights of the shares.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Anti-Takeover Effects of Delaware Law, Our Certificate of Incorporation and Our Bylaws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Some provisions of Delaware law, our Certificate of Incorporation and our Bylaws could make certain change of control transactions more difficult, including acquisitions of us by means of a tender offer, a proxy contest or otherwise, as well as removal of our incumbent directors. These provisions may also have the effect of preventing changes in our management. It is possible that these provisions could make it more difficult to accomplish or could deter transactions that stockholders may otherwise consider to be in their best interest or in his or her best interests, including transactions that might result in a premium over the market price for our Common Stock. </w:t>
      </w:r>
    </w:p>
    <w:p>
      <w:pPr>
        <w:pStyle w:val="TextBody"/>
        <w:bidi w:val="0"/>
        <w:spacing w:lineRule="auto" w:line="288" w:before="240" w:after="283"/>
        <w:jc w:val="both"/>
        <w:rPr/>
      </w:pPr>
      <w:r>
        <w:rPr>
          <w:color w:val="000000"/>
        </w:rPr>
        <w:t> </w:t>
      </w:r>
      <w:r>
        <w:rPr>
          <w:rFonts w:ascii="Times New Roman;serif" w:hAnsi="Times New Roman;serif"/>
          <w:b w:val="false"/>
          <w:i/>
          <w:color w:val="000000"/>
          <w:sz w:val="20"/>
        </w:rPr>
        <w:t>Business Combinations under Delaware Law</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In our Certificate of Incorporation, we are subject to the provisions of Section 203 of the DGCL regulating corporate takeovers. In general, those provisions prohibit a Delaware corporation, including those whose securities are listed for trading on the NYSE, from engaging in any business combination with any interested stockholder for a period of three years following the date that the stockholder became an interested stockholder, unless: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before the person became an interested stockholder, the Board approved either the business combination or the transaction in which the interested stockholder became an interested stockholder;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upon consummation of the transaction that resulted in the stockholder becoming an interested stockholder, the interested stockholder owned at least 85% of our voting stock outstanding at the time the transaction commenced (other than statutorily excluded shares); or     </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 xml:space="preserve">on or after the date the interested stockholder attained that status, the business combination is approved by the Board and authorized at a meeting of stockholders by at least two-thirds of the outstanding voting stock that is not owned by the interested stockholder.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interested stockholder is defined as a person who, together with any affiliates or associates of such person, beneficially owns, directly or indirectly, 15% or more of the outstanding voting shares of a Delaware corporation. The term “business combination” is broadly defined to include a broad array of transactions, including mergers, consolidations, sales or other dispositions of assets having a total value in excess of 10% of the consolidated assets of the corporation or all of the outstanding stock of the corporation, and some other transactions that would increase the interested stockholder’s proportionate share ownership in the corporation.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Certificate of Incorporation and Bylaws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Among other things, our Certificate of Incorporation and Bylaws: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delivered to our secretary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to the extent they do not comply with the requirements in these advance notice procedures;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provide the Board the ability to authorize the issuance of undesignated Preferred Stock. This makes it possible for the Board to issue, without stockholder approval, Preferred Stock with voting or other rights or preferences that could impede the success of any attempt to change control of us;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that the authorized number of directors may be changed only by resolution of the Board;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that all vacancies, including newly created directorships, may, except as otherwise required by law, be filled by the affirmative vote of a majority of directors then in office, even if less than a quorum;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that our Certificate of Incorporation and Bylaws may be amended by the affirmative vote of the holders of at least two-thirds of our then outstanding Common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that special meetings of our stockholders may only be called by the Board, the chief executive officer, the president, the secretary, the chairman of the board or by stockholders holding a majority of the outstanding shares entitled to vote generally in the election of directors;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for the Board to be divided into three classes of directors, with each class as nearly equal in number as possible, serving staggered three year terms, other than directors who may be elected by holders of Preferred Stock, if any. This system of electing and removing directors may tend to discourage a third party from making a tender offer or otherwise attempting to obtain control of us, because it generally makes it more difficult for stockholders to replace a majority of the directors; and    </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provide that a member of the Board may only be removed for cause and only by the affirmative vote of the holders of at least two-thirds of our then outstanding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Amendment of the Bylaws</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The Board may amend or repeal the Bylaws and adopt new bylaws by the affirmative vote of the Board. The stockholders may amend or repeal the Bylaws and adopt new bylaws by the affirmative vote of the holders of at least two-thirds of our then outstanding Common Stock at any annual meeting or special meeting for which notice of the proposed amendment, repeal or adoption was contained in the notice for such special meeting.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Limitation of Liability and Indemnification of Officers and Directors</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Our directors will not be personally liable to us or our stockholders for monetary damages for breach of fiduciary duty as a director, except, if required by Delaware law, for liability: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 any breach of the duty of loyalty to us or our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acts or omissions not in good faith or involving intentional misconduct or a knowing violation of law;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unlawful payment of a dividend or unlawful stock purchases or redemptions;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any transaction from which the director derived an improper personal benefit.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 We have entered into indemnification agreements with each of our other current directors and officers.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Transfer Agent and Registrar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transfer agent and registrar for our Common Stock is Equiniti Trust Company LLC.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Our Common Stock is listed on the NYSE and NYSE Texas under the symbol “FET.”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DEBT SECURITIES </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debt securities we may offer pursuant to this prospectus will be the general unsecured obligations of Forum Energy Technologies, Inc. and will be senior, senior subordinated or subordinated debt. Our unsecured senior debt securities, unsecured senior subordinated debt securities and unsecured subordinated debt securities will be issued under separate indentures to be entered into by us and a trustee to be named in a prospectus supplement.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issue any debt securities using this prospectus, we will file a form of the applicable indenture by amendment to the registration statement of which this prospectus forms a part or as an exhibit to a document to be incorporated by reference herein. You should refer to the applicable indenture for more specific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senior debt securities will rank equally with each other and with all of our other unsecured and unsubordinated indebtedness. Our senior debt securities will effectively be subordinated to any of our secured indebtedness, including amounts we have borrowed under any secured revolving or term credit facility, and the liabilities of our subsidiaries. The senior subordinated debt securities will be subordinate and junior in right of payment, as more fully described in an indenture and in any applicable supplemental indenture, to the senior indebtedness designated in such indenture or supplemental indenture. The subordinated debt securities will be subordinate and junior in right of payment, as more fully described in an indenture and in any applicable supplemental indenture, to all of our senior and senior subordinated indebtedness.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include the specific terms of each series of the debt securities being offered in a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WARRANTS </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set forth in the applicable prospectus supplement a description of any warrants that may be offered pursuant 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SELLING SECURITYHOLDERS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about selling securityholders, where applicable, will be set forth in a prospectus supplement, in a post-effective amendment or in filings we make with the SEC under the Exchange Act that are incorporated by reference herein.</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 xml:space="preserve">PLAN OF DISTRIBUTION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or the selling securityholders may sell the offered securities: (a) through agents; (b) through underwriters or dealers; (c) directly to one or more purchasers; or (d) through a combination of any of these methods of sale. A description of the specific plan of distribution of the securities that may be offered pursuant to this prospectus, including any underwriters, dealers, agents or direct purchasers and their compensation, will be set forth in the applicable prospectus supplement.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validity of the securities described in this prospectus will be passed upon for us by Gibson, Dunn &amp; Crutcher LLP, Houston, Texas. If the securities are being distributed through underwriters or agents, the validity of the securities will be passed upon for the underwriters or agents by counsel identified in the related prospectus supplement. Matters relating to the securities will be passed for the selling securityholders by each of the selling securityholders’ own respective counsel.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Forum Energy Technologies, Inc. as of December 31, 2025 and 2024, and for each of the two years in the period ended December 31, 2025, incorporated by reference in this prospectus, and the effectiveness of Forum Energy Technologies,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240" w:after="283"/>
        <w:ind w:left="0" w:right="0" w:firstLine="720"/>
        <w:jc w:val="both"/>
        <w:rPr/>
      </w:pPr>
      <w:r>
        <w:rPr/>
      </w:r>
    </w:p>
    <w:p>
      <w:pPr>
        <w:pStyle w:val="TextBody"/>
        <w:bidi w:val="0"/>
        <w:spacing w:before="0" w:after="0"/>
        <w:jc w:val="both"/>
        <w:rPr/>
      </w:pPr>
      <w:r>
        <w:rPr/>
      </w:r>
    </w:p>
    <w:p>
      <w:pPr>
        <w:pStyle w:val="TextBody"/>
        <w:bidi w:val="0"/>
        <w:spacing w:before="240" w:after="283"/>
        <w:ind w:left="0" w:right="0" w:firstLine="72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Information Not Required in Prospectus </w:t>
      </w:r>
    </w:p>
    <w:p>
      <w:pPr>
        <w:pStyle w:val="TextBody"/>
        <w:bidi w:val="0"/>
        <w:spacing w:lineRule="auto" w:line="288" w:before="0" w:after="0"/>
        <w:jc w:val="left"/>
        <w:rPr>
          <w:color w:val="000000"/>
        </w:rPr>
      </w:pPr>
      <w:r>
        <w:rPr>
          <w:color w:val="000000"/>
        </w:rPr>
        <w:t> </w:t>
      </w:r>
    </w:p>
    <w:tbl>
      <w:tblPr>
        <w:tblW w:w="4679" w:type="dxa"/>
        <w:jc w:val="left"/>
        <w:tblInd w:w="0" w:type="dxa"/>
        <w:tblLayout w:type="fixed"/>
        <w:tblCellMar>
          <w:top w:w="28" w:type="dxa"/>
          <w:left w:w="28" w:type="dxa"/>
          <w:bottom w:w="28" w:type="dxa"/>
          <w:right w:w="28" w:type="dxa"/>
        </w:tblCellMar>
      </w:tblPr>
      <w:tblGrid>
        <w:gridCol w:w="293"/>
        <w:gridCol w:w="257"/>
        <w:gridCol w:w="260"/>
        <w:gridCol w:w="1133"/>
        <w:gridCol w:w="1133"/>
        <w:gridCol w:w="160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14.</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Expenses of Issuance and Distribution</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estimated costs and expenses payable by Forum in connection with the sale of securities being registered hereby. </w:t>
      </w:r>
    </w:p>
    <w:p>
      <w:pPr>
        <w:pStyle w:val="TextBody"/>
        <w:bidi w:val="0"/>
        <w:spacing w:lineRule="auto" w:line="288" w:before="0" w:after="0"/>
        <w:jc w:val="left"/>
        <w:rPr>
          <w:color w:val="000000"/>
        </w:rPr>
      </w:pPr>
      <w:r>
        <w:rPr>
          <w:color w:val="000000"/>
        </w:rPr>
        <w:t> </w:t>
      </w:r>
    </w:p>
    <w:tbl>
      <w:tblPr>
        <w:tblW w:w="3838" w:type="dxa"/>
        <w:jc w:val="left"/>
        <w:tblInd w:w="0" w:type="dxa"/>
        <w:tblLayout w:type="fixed"/>
        <w:tblCellMar>
          <w:top w:w="28" w:type="dxa"/>
          <w:left w:w="28" w:type="dxa"/>
          <w:bottom w:w="28" w:type="dxa"/>
          <w:right w:w="28" w:type="dxa"/>
        </w:tblCellMar>
      </w:tblPr>
      <w:tblGrid>
        <w:gridCol w:w="1002"/>
        <w:gridCol w:w="877"/>
        <w:gridCol w:w="896"/>
        <w:gridCol w:w="109"/>
        <w:gridCol w:w="109"/>
        <w:gridCol w:w="109"/>
        <w:gridCol w:w="114"/>
        <w:gridCol w:w="114"/>
        <w:gridCol w:w="114"/>
        <w:gridCol w:w="114"/>
        <w:gridCol w:w="114"/>
        <w:gridCol w:w="166"/>
      </w:tblGrid>
      <w:tr>
        <w:trPr/>
        <w:tc>
          <w:tcPr>
            <w:tcW w:w="100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33" w:after="3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Trustees’ fees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Printing and engraving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Listing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    In accordance with Rules 456(b) and 457(r) of the Securities Act of 1933, as amended, the registrant is deferring payment of all of the registration fee.</w:t>
      </w:r>
    </w:p>
    <w:p>
      <w:pPr>
        <w:pStyle w:val="TextBody"/>
        <w:bidi w:val="0"/>
        <w:spacing w:lineRule="auto" w:line="288" w:before="0" w:after="24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    Estimated expenses are not presently known. The foregoing sets forth the general categories of expenses (other than underwriting discounts and commissions) that we anticipate we will incur in connection with the offering of securities under this registration statement. An estimate of the aggregate expenses in connection with the issuance and distribution of the securities being offered will be included in the applicable prospectus supplement.</w:t>
      </w:r>
    </w:p>
    <w:tbl>
      <w:tblPr>
        <w:tblW w:w="4439" w:type="dxa"/>
        <w:jc w:val="left"/>
        <w:tblInd w:w="0" w:type="dxa"/>
        <w:tblLayout w:type="fixed"/>
        <w:tblCellMar>
          <w:top w:w="28" w:type="dxa"/>
          <w:left w:w="28" w:type="dxa"/>
          <w:bottom w:w="28" w:type="dxa"/>
          <w:right w:w="28" w:type="dxa"/>
        </w:tblCellMar>
      </w:tblPr>
      <w:tblGrid>
        <w:gridCol w:w="293"/>
        <w:gridCol w:w="257"/>
        <w:gridCol w:w="260"/>
        <w:gridCol w:w="1061"/>
        <w:gridCol w:w="1061"/>
        <w:gridCol w:w="1507"/>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15.</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Indemnification of Officers and Directors</w:t>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Delaware General Corporation Law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and only to the extent that the Delaware Court of Chancery or the court in which the action or suit was brought shall determine upon application that, despite the adjudication of liability but in view of all the circumstances of the case, the person is fairly and reasonably entitled to indemnity for the expenses which the Delaware Court of Chancery or such other court shall deem proper.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the person shall be indemnified against expenses (including attorneys’ fees) actually and reasonably incurred by the person in connection therewith.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Section 145(a) and (b). The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145(e) of the DGCL provides that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the director or officer to repay such amount if it shall ultimately be determined that the person is not entitled to be indemnified by the corporation as authorized in Section 145. The expenses (including attorneys’ fees) incurred by former directors and officers or other employees and agents may be so paid upon those terms and conditions, if any, as the corporation deems appropriate.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any such capacity, or arising out of the person’s status as such, whether or not the corporation would have the power to indemnify the person against such liability under Section 145.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145(k) of the DGCL provides that the indemnification and advancement of expenses provided by, or granted in accordance with, Section 145 shall, unless otherwise provided when authorized or ratified, continue as to a person who has ceased to be a director, officer, employee or agent and shall inure to the benefit of the heirs, executors and administrators of such a person.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Certificate of Incorporation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Certificate of Incorporation provides that a director will not be liable to the Company or its stockholders for monetary damages, to the fullest extent permitted by the DGCL, for breach of fiduciary duty as a director. In addition, if the DGCL is amended to authorize the further elimination or limitation of the liability of directors, then the liability of a director of the Company, in addition to the limitation on personal liability provided for in the Certificate of Incorporation, will be limited to the fullest extent permitted by the amended DGCL. The Certificate of Incorporation also contains indemnification rights for the directors and officers. Specifically, the Certificate of Incorporation provides that the Company shall indemnify its officers and directors to the fullest extent authorized by the DGCL.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Certain Other Arrangements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obtained directors’ and officers’ insurance to cover its directors, officers and some employees for certain liabilities. Each of the Company’s current and former directors and certain officers are indemnified pursuant to an indemnification agreement and to the fullest extent possible under law against all losses pertaining to certain actions taken by them, or failures to act. Pursuant to these agreements, if an officer or director makes a claim of indemnification to the Company, either a majority of the independent directors or independent legal counsel selected by the independent directors must review the relevant facts and make a determination whether the officer or director has met the standards of conduct under Delaware law that would permit (under Delaware law) and require (under the indemnification agreement) the Company to indemnify the officer or director.</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tbl>
      <w:tblPr>
        <w:tblW w:w="1785" w:type="dxa"/>
        <w:jc w:val="left"/>
        <w:tblInd w:w="0" w:type="dxa"/>
        <w:tblLayout w:type="fixed"/>
        <w:tblCellMar>
          <w:top w:w="28" w:type="dxa"/>
          <w:left w:w="28" w:type="dxa"/>
          <w:bottom w:w="28" w:type="dxa"/>
          <w:right w:w="28" w:type="dxa"/>
        </w:tblCellMar>
      </w:tblPr>
      <w:tblGrid>
        <w:gridCol w:w="293"/>
        <w:gridCol w:w="257"/>
        <w:gridCol w:w="260"/>
        <w:gridCol w:w="285"/>
        <w:gridCol w:w="285"/>
        <w:gridCol w:w="405"/>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16.</w:t>
            </w:r>
          </w:p>
        </w:tc>
        <w:tc>
          <w:tcPr>
            <w:tcW w:w="975"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Exhibits</w:t>
            </w:r>
            <w:r>
              <w:rPr>
                <w:color w:val="00000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996"/>
        <w:gridCol w:w="2996"/>
        <w:gridCol w:w="3024"/>
        <w:gridCol w:w="15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20"/>
                  <w:u w:val="single"/>
                </w:rPr>
                <w:t>Third Amended and Restated Certificate of Incorporation of Forum Energy Technologies, Inc. dated March 28, 2011 (incorporated herein by reference to Exhibit 3.2 to Amendment No. 5 to the Registration Statement, filed on March 29, 2012) (File No. 333-180676).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20"/>
                  <w:u w:val="single"/>
                </w:rPr>
                <w:t>Certificate of</w:t>
              </w:r>
            </w:hyperlink>
            <w:hyperlink r:id="rId12">
              <w:r>
                <w:rPr>
                  <w:rStyle w:val="InternetLink"/>
                  <w:color w:val="0000FF"/>
                  <w:u w:val="single"/>
                </w:rPr>
                <w:t xml:space="preserve"> </w:t>
              </w:r>
            </w:hyperlink>
            <w:hyperlink r:id="rId13">
              <w:r>
                <w:rPr>
                  <w:rStyle w:val="InternetLink"/>
                  <w:rFonts w:ascii="Times New Roman;serif" w:hAnsi="Times New Roman;serif"/>
                  <w:b w:val="false"/>
                  <w:color w:val="0000FF"/>
                  <w:sz w:val="20"/>
                  <w:u w:val="single"/>
                </w:rPr>
                <w:t>Amendment to the Third Amended and Restated Certificate of Incorporation of Forum Energy Technologies, Inc., effective November 9, 2020 (incorporated herein by reference to Exhibit 3.1 on the Company’s Current Report on Form 8-K, filed on November 9,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0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erif" w:hAnsi="Times New Roman;serif"/>
                  <w:b w:val="false"/>
                  <w:color w:val="0000FF"/>
                  <w:sz w:val="20"/>
                  <w:u w:val="single"/>
                </w:rPr>
                <w:t>Certificate of</w:t>
              </w:r>
            </w:hyperlink>
            <w:hyperlink r:id="rId15">
              <w:r>
                <w:rPr>
                  <w:rStyle w:val="InternetLink"/>
                  <w:color w:val="0000FF"/>
                  <w:u w:val="single"/>
                </w:rPr>
                <w:t xml:space="preserve"> </w:t>
              </w:r>
            </w:hyperlink>
            <w:hyperlink r:id="rId16">
              <w:r>
                <w:rPr>
                  <w:rStyle w:val="InternetLink"/>
                  <w:rFonts w:ascii="Times New Roman;serif" w:hAnsi="Times New Roman;serif"/>
                  <w:b w:val="false"/>
                  <w:color w:val="0000FF"/>
                  <w:sz w:val="20"/>
                  <w:u w:val="single"/>
                </w:rPr>
                <w:t>Amendment to the Third Amended and Restated Certificate of Incorporation of Forum Energy Technologies, Inc., effective May 12, 2025 (incorporated herein by reference to Exhibit 3.1 on the Company’s Current Report on Form 8-K, filed on May 13, 2025).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0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erif" w:hAnsi="Times New Roman;serif"/>
                  <w:b w:val="false"/>
                  <w:color w:val="0000FF"/>
                  <w:sz w:val="20"/>
                  <w:u w:val="single"/>
                </w:rPr>
                <w:t>Third Amended and Restated Bylaws of Forum Energy Technologies, Inc. dated May 12, 2023 (incorporated herein by reference to Exhibit 3.1 on the Company’s Current Report on Form 8-K, filed on May 17, 2023) (File No. 1-35504).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Form of Common Stock Certificate (incorporated herein by reference to Exhibit 4.1 to Amendment No. 3 to the Registration Statement, filed on December 29, 2011) (File No. 333-180676). </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 of Senior Debt Indenture.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 of Senior Subordinated Debt Indenture.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 of Subordinated Debt Indenture.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51-opinionformsx3as.htm">
              <w:r>
                <w:rPr>
                  <w:rStyle w:val="InternetLink"/>
                  <w:rFonts w:ascii="Times New Roman;serif" w:hAnsi="Times New Roman;serif"/>
                  <w:b w:val="false"/>
                  <w:color w:val="0000FF"/>
                  <w:sz w:val="20"/>
                  <w:u w:val="single"/>
                </w:rPr>
                <w:t>Opinion of Gibson, Dunn &amp; Crutcher LLP.</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231-consent.htm">
              <w:r>
                <w:rPr>
                  <w:rStyle w:val="InternetLink"/>
                  <w:rFonts w:ascii="Times New Roman;serif" w:hAnsi="Times New Roman;serif"/>
                  <w:b w:val="false"/>
                  <w:color w:val="0000FF"/>
                  <w:sz w:val="20"/>
                  <w:u w:val="single"/>
                </w:rPr>
                <w:t>Consent of Deloitte &amp; Touche LLP.</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Consent of Gibson, Dunn &amp; Crutcher LLP (included in Exhibit 5.1).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Powers of Attorney (included on the signature page of this Registration Statement).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filingfeesfet.htm">
              <w:r>
                <w:rPr>
                  <w:rStyle w:val="InternetLink"/>
                  <w:rFonts w:ascii="Times New Roman;serif" w:hAnsi="Times New Roman;serif"/>
                  <w:b w:val="false"/>
                  <w:color w:val="0E32E1"/>
                  <w:sz w:val="20"/>
                  <w:u w:val="single"/>
                </w:rPr>
                <w:t>Filing Fee Table.</w:t>
              </w:r>
            </w:hyperlink>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0"/>
        </w:rPr>
        <w:t>We will file as an exhibit to a Current Report on Form 8-K (i) any underwriting, remarketing or agency agreement relating to the securities offered hereby, (ii) the instruments setting forth the terms of any preferred stock, debt securities or warrants, (iii) any additional required opinions of counsel with respect to the legality of the securities offered hereby and (iv) any required opinion of counsel as to certain tax matters relative to the securities offered hereby. Any required Statements of Eligibility and Qualification under the Trust Indenture Act of 1939 on Form T-1 would be filed, if necessary, on Form 305B2 in accordance with the requirements of Section 305(b)(2) of the Trust Indenture Act of 1939, as amended.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To be filed by amendment or as an exhibit to a document to be incorporated by reference herein in connection with the issuance of the securities.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before="0" w:after="0"/>
        <w:jc w:val="left"/>
        <w:rPr/>
      </w:pPr>
      <w:r>
        <w:rPr/>
      </w:r>
    </w:p>
    <w:tbl>
      <w:tblPr>
        <w:tblW w:w="2101" w:type="dxa"/>
        <w:jc w:val="left"/>
        <w:tblInd w:w="0" w:type="dxa"/>
        <w:tblLayout w:type="fixed"/>
        <w:tblCellMar>
          <w:top w:w="28" w:type="dxa"/>
          <w:left w:w="28" w:type="dxa"/>
          <w:bottom w:w="28" w:type="dxa"/>
          <w:right w:w="28" w:type="dxa"/>
        </w:tblCellMar>
      </w:tblPr>
      <w:tblGrid>
        <w:gridCol w:w="293"/>
        <w:gridCol w:w="257"/>
        <w:gridCol w:w="260"/>
        <w:gridCol w:w="378"/>
        <w:gridCol w:w="378"/>
        <w:gridCol w:w="535"/>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17.</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Undertakings</w:t>
            </w:r>
          </w:p>
        </w:tc>
      </w:tr>
    </w:tbl>
    <w:p>
      <w:pPr>
        <w:pStyle w:val="TextBody"/>
        <w:bidi w:val="0"/>
        <w:spacing w:lineRule="auto" w:line="288" w:before="24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The undersigned registrant hereby undertakes: </w:t>
      </w:r>
    </w:p>
    <w:p>
      <w:pPr>
        <w:pStyle w:val="TextBody"/>
        <w:bidi w:val="0"/>
        <w:spacing w:before="0" w:after="0"/>
        <w:ind w:left="0" w:right="0" w:firstLine="1080"/>
        <w:jc w:val="both"/>
        <w:rPr/>
      </w:pPr>
      <w:r>
        <w:rPr/>
      </w:r>
    </w:p>
    <w:p>
      <w:pPr>
        <w:pStyle w:val="TextBody"/>
        <w:bidi w:val="0"/>
        <w:spacing w:lineRule="auto" w:line="333" w:before="0" w:after="0"/>
        <w:ind w:left="0" w:right="0" w:firstLine="108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To file, during any period in which offers or sales are being made, a post-effective amendment to this registration statement: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(i)To include any prospectus required by Section 10(a)(3) of the Securities Act of 1933;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set forth in Exhibit 107 to the effective registration statement; 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(iii)To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provided, however, that paragraphs (a)(1)(i), (a)(1)(ii) and (a)(1)(iii) do not apply if the information required to be included in a post-effective amendment by those paragraphs is contained in periodic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lineRule="auto" w:line="288" w:before="240" w:after="283"/>
        <w:ind w:left="0" w:right="0" w:firstLine="1080"/>
        <w:jc w:val="both"/>
        <w:rPr/>
      </w:pPr>
      <w:r>
        <w:rPr>
          <w:rFonts w:ascii="Times New Roman;serif" w:hAnsi="Times New Roman;serif"/>
          <w:b w:val="false"/>
          <w:color w:val="000000"/>
          <w:sz w:val="20"/>
        </w:rPr>
        <w:t>(2)</w:t>
      </w:r>
      <w:r>
        <w:rPr>
          <w:rFonts w:ascii="Times New Roman;serif" w:hAnsi="Times New Roman;serif"/>
          <w:b w:val="false"/>
          <w:color w:val="000000"/>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0"/>
        </w:rPr>
        <w:t>(3)</w:t>
      </w:r>
      <w:r>
        <w:rPr>
          <w:rFonts w:ascii="Times New Roman;serif" w:hAnsi="Times New Roman;serif"/>
          <w:b w:val="false"/>
          <w:color w:val="000000"/>
          <w:sz w:val="20"/>
        </w:rPr>
        <w:t xml:space="preserve">To remove from registration by means of a post-effective amendment any of the securities being registered which remain unsold at the termination of the offering. </w:t>
      </w:r>
    </w:p>
    <w:p>
      <w:pPr>
        <w:pStyle w:val="TextBody"/>
        <w:bidi w:val="0"/>
        <w:spacing w:before="0" w:after="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0"/>
        </w:rPr>
        <w:t>(4)</w:t>
      </w:r>
      <w:r>
        <w:rPr>
          <w:rFonts w:ascii="Times New Roman;serif" w:hAnsi="Times New Roman;serif"/>
          <w:b w:val="false"/>
          <w:color w:val="000000"/>
          <w:sz w:val="20"/>
        </w:rPr>
        <w:t xml:space="preserve">That, for the purpose of determining liability under the Securities Act of 1933 to any purchaser: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080"/>
        <w:jc w:val="both"/>
        <w:rPr/>
      </w:pPr>
      <w:r>
        <w:rPr>
          <w:rFonts w:ascii="Times New Roman;serif" w:hAnsi="Times New Roman;serif"/>
          <w:b w:val="false"/>
          <w:color w:val="000000"/>
          <w:sz w:val="20"/>
        </w:rPr>
        <w:t>(5)</w:t>
      </w:r>
      <w:r>
        <w:rPr>
          <w:rFonts w:ascii="Times New Roman;serif" w:hAnsi="Times New Roman;serif"/>
          <w:b w:val="false"/>
          <w:color w:val="000000"/>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(i)Any preliminary prospectus or prospectus of the undersigned registrant relating to the offering required to be filed pursuant to Rule 424;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(ii)Any free writing prospectus relating to the offering prepared by or on behalf of the undersigned registrant or used or referred to by the undersigned registrant;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(iii)The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(iv)Any other communication that is an offer in the offering made by the undersigned registrant to the purchaser.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August 28, 2026. </w:t>
      </w:r>
    </w:p>
    <w:tbl>
      <w:tblPr>
        <w:tblW w:w="5689" w:type="dxa"/>
        <w:jc w:val="left"/>
        <w:tblInd w:w="0" w:type="dxa"/>
        <w:tblLayout w:type="fixed"/>
        <w:tblCellMar>
          <w:top w:w="28" w:type="dxa"/>
          <w:left w:w="28" w:type="dxa"/>
          <w:bottom w:w="28" w:type="dxa"/>
          <w:right w:w="28" w:type="dxa"/>
        </w:tblCellMar>
      </w:tblPr>
      <w:tblGrid>
        <w:gridCol w:w="459"/>
        <w:gridCol w:w="404"/>
        <w:gridCol w:w="404"/>
        <w:gridCol w:w="404"/>
        <w:gridCol w:w="404"/>
        <w:gridCol w:w="404"/>
        <w:gridCol w:w="933"/>
        <w:gridCol w:w="933"/>
        <w:gridCol w:w="1344"/>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FORUM ENERGY TECHNOLOGIES, INC.</w:t>
            </w:r>
          </w:p>
        </w:tc>
      </w:tr>
      <w:tr>
        <w:trPr/>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Neal A. Lux</w:t>
            </w:r>
          </w:p>
        </w:tc>
      </w:tr>
      <w:tr>
        <w:trPr/>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Neal A. Lux</w:t>
            </w:r>
          </w:p>
        </w:tc>
      </w:tr>
      <w:tr>
        <w:trPr/>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KNOWN ALL PERSONS BY THESE PRESENTS, that each person whose signature appears below authorizes and appoints Neal A. Lux, D. Lyle Williams, Jr. and John C. Ivascu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 granting unto said attorney-in-fact and agent full power and authority to do and perform each and every act and thing requisite and necessary to be done, as fully and to all intents and purposes as he might or could do in person, hereby ratifying and confirming all that said attorney-in-fact or agent, or his substitute or substitutes, may lawfully do or cause to be done.</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II-7</w:t>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this registration statement has been signed by the following persons in the capacities held on August 28, 2026. </w:t>
      </w:r>
    </w:p>
    <w:p>
      <w:pPr>
        <w:pStyle w:val="TextBody"/>
        <w:bidi w:val="0"/>
        <w:spacing w:lineRule="auto" w:line="288" w:before="0" w:after="0"/>
        <w:jc w:val="both"/>
        <w:rPr>
          <w:color w:val="000000"/>
        </w:rPr>
      </w:pPr>
      <w:r>
        <w:rPr>
          <w:color w:val="000000"/>
        </w:rPr>
        <w:t> </w:t>
      </w:r>
    </w:p>
    <w:tbl>
      <w:tblPr>
        <w:tblW w:w="6775" w:type="dxa"/>
        <w:jc w:val="left"/>
        <w:tblInd w:w="0" w:type="dxa"/>
        <w:tblLayout w:type="fixed"/>
        <w:tblCellMar>
          <w:top w:w="28" w:type="dxa"/>
          <w:left w:w="28" w:type="dxa"/>
          <w:bottom w:w="28" w:type="dxa"/>
          <w:right w:w="28" w:type="dxa"/>
        </w:tblCellMar>
      </w:tblPr>
      <w:tblGrid>
        <w:gridCol w:w="372"/>
        <w:gridCol w:w="327"/>
        <w:gridCol w:w="327"/>
        <w:gridCol w:w="327"/>
        <w:gridCol w:w="327"/>
        <w:gridCol w:w="328"/>
        <w:gridCol w:w="109"/>
        <w:gridCol w:w="109"/>
        <w:gridCol w:w="109"/>
        <w:gridCol w:w="1292"/>
        <w:gridCol w:w="1292"/>
        <w:gridCol w:w="1856"/>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20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r>
      <w:tr>
        <w:trPr/>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/s/ Neal A. Lux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200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Neal A. Lux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/s/ D. Lyle Williams,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00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 Lyle Williams,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/s/ Katherine C. Keller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tc>
      </w:tr>
      <w:tr>
        <w:trPr/>
        <w:tc>
          <w:tcPr>
            <w:tcW w:w="200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Katherine C. Keller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McShane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w:t>
            </w:r>
          </w:p>
        </w:tc>
      </w:tr>
      <w:tr>
        <w:trPr/>
        <w:tc>
          <w:tcPr>
            <w:tcW w:w="200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McShane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Evelyn M. Angelle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0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Evelyn M. Angelle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/s/ Leslie A. Beyer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0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Leslie A. Beyer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/s/ John A. Carrig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0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A. Carrig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Aron H. Marquez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0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Aron H. Marquez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/s/ Louis A. Raspino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0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Louis A. Raspino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Paul E. Rowsey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0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Paul E. Rowsey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/s/ Mark W.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0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38" w:after="30"/>
              <w:jc w:val="center"/>
              <w:rPr>
                <w:rFonts w:ascii="Times New Roman;serif" w:hAnsi="Times New Roman;serif"/>
                <w:b w:val="false"/>
                <w:color w:val="000000"/>
                <w:sz w:val="20"/>
              </w:rPr>
            </w:pPr>
            <w:r>
              <w:rPr>
                <w:rFonts w:ascii="Times New Roman;serif" w:hAnsi="Times New Roman;serif"/>
                <w:b w:val="false"/>
                <w:color w:val="000000"/>
                <w:sz w:val="20"/>
              </w:rPr>
              <w:t>Mark W.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bookmarkStart w:id="0" w:name="exfilingfeesfet.htm"/>
      <w:bookmarkStart w:id="1" w:name="ksexfilingfeesfet"/>
      <w:bookmarkStart w:id="2" w:name="exfilingfeesfet.htm"/>
      <w:bookmarkStart w:id="3" w:name="ksexfilingfeesfet"/>
      <w:bookmarkEnd w:id="2"/>
      <w:bookmarkEnd w:id="3"/>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II-8</w:t>
                      </w:r>
                    </w:p>
                  </w:txbxContent>
                </v:textbox>
                <w10:wrap type="none"/>
              </v:rect>
            </w:pict>
          </mc:Fallback>
        </mc:AlternateContent>
      </w:r>
    </w:p>
    <w:tbl>
      <w:tblPr>
        <w:tblW w:w="5015" w:type="dxa"/>
        <w:jc w:val="left"/>
        <w:tblInd w:w="0" w:type="dxa"/>
        <w:tblLayout w:type="fixed"/>
        <w:tblCellMar>
          <w:top w:w="28" w:type="dxa"/>
          <w:left w:w="28" w:type="dxa"/>
          <w:bottom w:w="28" w:type="dxa"/>
          <w:right w:w="28" w:type="dxa"/>
        </w:tblCellMar>
      </w:tblPr>
      <w:tblGrid>
        <w:gridCol w:w="4861"/>
        <w:gridCol w:w="154"/>
      </w:tblGrid>
      <w:tr>
        <w:trPr/>
        <w:tc>
          <w:tcPr>
            <w:tcW w:w="501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86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b/>
              </w:rPr>
            </w:pPr>
            <w:r>
              <w:rPr>
                <w:b/>
              </w:rPr>
              <w:t xml:space="preserve">FORUM ENERGY TECHNOLOGIES,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4" w:name="MaxAggtOfferingPrice"/>
            <w:bookmarkEnd w:id="4"/>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2"/>
        <w:gridCol w:w="8707"/>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The registrant is deferring payment of the registration fee pursuant to Rule 456(b) under the Securities Act of 1933, as amended (the "Securities Act"), and is excluding this information in reliance on Rule 456(b) and Rule 457(r) under the Securities Act. Any additional registration fees will be paid subsequently on a pay-as-you-go basis. An indeterminate aggregate offering price or number of securities of each identified class is being registered as may from time to time be offered at indeterminate prices.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9" w:type="dxa"/>
            <w:gridSpan w:val="2"/>
            <w:tcBorders/>
            <w:vAlign w:val="center"/>
          </w:tcPr>
          <w:p>
            <w:pPr>
              <w:pStyle w:val="TableContents"/>
              <w:bidi w:val="0"/>
              <w:spacing w:before="0" w:after="283"/>
              <w:jc w:val="left"/>
              <w:rPr/>
            </w:pPr>
            <w:r>
              <w:rPr/>
              <w:t xml:space="preserve">See Offering Note 1.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99" w:type="dxa"/>
            <w:gridSpan w:val="2"/>
            <w:tcBorders/>
            <w:vAlign w:val="center"/>
          </w:tcPr>
          <w:p>
            <w:pPr>
              <w:pStyle w:val="TableContents"/>
              <w:bidi w:val="0"/>
              <w:spacing w:before="0" w:after="283"/>
              <w:jc w:val="left"/>
              <w:rPr/>
            </w:pPr>
            <w:r>
              <w:rPr/>
              <w:t xml:space="preserve">See Offering Note 1.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99" w:type="dxa"/>
            <w:gridSpan w:val="2"/>
            <w:tcBorders/>
            <w:vAlign w:val="center"/>
          </w:tcPr>
          <w:p>
            <w:pPr>
              <w:pStyle w:val="TableContents"/>
              <w:bidi w:val="0"/>
              <w:spacing w:before="0" w:after="283"/>
              <w:jc w:val="left"/>
              <w:rPr/>
            </w:pPr>
            <w:r>
              <w:rPr/>
              <w:t xml:space="preserve">See Offering Note 1.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752600" cy="200025"/>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19"/>
                    <a:stretch>
                      <a:fillRect/>
                    </a:stretch>
                  </pic:blipFill>
                  <pic:spPr bwMode="auto">
                    <a:xfrm>
                      <a:off x="0" y="0"/>
                      <a:ext cx="1752600" cy="200025"/>
                    </a:xfrm>
                    <a:prstGeom prst="rect">
                      <a:avLst/>
                    </a:prstGeom>
                  </pic:spPr>
                </pic:pic>
              </a:graphicData>
            </a:graphic>
          </wp:inline>
        </w:drawing>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5.1</w:t>
      </w:r>
    </w:p>
    <w:p>
      <w:pPr>
        <w:pStyle w:val="TextBody"/>
        <w:bidi w:val="0"/>
        <w:spacing w:lineRule="auto" w:line="288" w:before="240" w:after="480"/>
        <w:jc w:val="left"/>
        <w:rPr>
          <w:rFonts w:ascii="TimesNewRoman;serif" w:hAnsi="TimesNewRoman;serif"/>
          <w:b w:val="false"/>
          <w:color w:val="000000"/>
          <w:sz w:val="22"/>
        </w:rPr>
      </w:pPr>
      <w:r>
        <w:rPr>
          <w:rFonts w:ascii="TimesNewRoman;serif" w:hAnsi="TimesNewRoman;serif"/>
          <w:b w:val="false"/>
          <w:color w:val="000000"/>
          <w:sz w:val="22"/>
        </w:rPr>
        <w:t>August 28, 2026</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Forum Energy Technologies, Inc.</w:t>
        <w:br/>
        <w:t>10344 Sam Houston Park Drive, Suite 300</w:t>
        <w:br/>
        <w:t>Houston, Texas 77064</w:t>
      </w:r>
    </w:p>
    <w:p>
      <w:pPr>
        <w:pStyle w:val="TextBody"/>
        <w:bidi w:val="0"/>
        <w:spacing w:lineRule="auto" w:line="288" w:before="0" w:after="0"/>
        <w:ind w:left="0" w:right="0" w:hanging="720"/>
        <w:jc w:val="left"/>
        <w:rPr>
          <w:rFonts w:ascii="TimesNewRoman;serif" w:hAnsi="TimesNewRoman;serif"/>
          <w:b w:val="false"/>
          <w:color w:val="000000"/>
          <w:sz w:val="22"/>
        </w:rPr>
      </w:pPr>
      <w:r>
        <w:rPr>
          <w:rFonts w:ascii="TimesNewRoman;serif" w:hAnsi="TimesNewRoman;serif"/>
          <w:b w:val="false"/>
          <w:color w:val="000000"/>
          <w:sz w:val="22"/>
        </w:rPr>
        <w:t>Re:    Forum Energy Technologies, Inc.</w:t>
        <w:br/>
        <w:t>Registration Statement on Form S-3</w:t>
      </w:r>
    </w:p>
    <w:p>
      <w:pPr>
        <w:pStyle w:val="TextBody"/>
        <w:bidi w:val="0"/>
        <w:spacing w:lineRule="auto" w:line="288" w:before="240" w:after="240"/>
        <w:jc w:val="left"/>
        <w:rPr>
          <w:rFonts w:ascii="TimesNewRoman;serif" w:hAnsi="TimesNewRoman;serif"/>
          <w:b w:val="false"/>
          <w:color w:val="000000"/>
          <w:sz w:val="22"/>
        </w:rPr>
      </w:pPr>
      <w:r>
        <w:rPr>
          <w:rFonts w:ascii="TimesNewRoman;serif" w:hAnsi="TimesNewRoman;serif"/>
          <w:b w:val="false"/>
          <w:color w:val="000000"/>
          <w:sz w:val="22"/>
        </w:rPr>
        <w:t>Ladies and Gentlemen:</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We have acted as counsel to Forum Energy Technologies, Inc., a Delaware corporation (the “Company”), in connection with the preparation and filing with the Securities and Exchange Commission (the “Commission”) of a Registration Statement on Form S-3 (the “Registration Statement”) under the Securities Act of 1933, as amended (the “Securities Act”), relating to the registration under the Securities Act and the proposed issuance and sale from time to time pursuant to Rule 415 under the Securities Act, together or separately and in one or more series (if applicable), of:</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(i) the Company’s unsecured debt securities, which may either be senior debt securities (“Senior Debt Securities”), senior subordinated debt securities (“Senior Subordinated Debt Securities”) or subordinated debt securities (the “Subordinated Debt Securities” and, collectively with the Senior Debt Securities and the Senior Subordinated Debt Securities, the “Debt Securities”);</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(ii) shares of the Company’s common stock, par value $0.01 per share (the “Common Stock”);</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 xml:space="preserve">(iii) shares of the Company’s preferred stock, par value $0.01 per share (the “Preferred Stock”); and </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(iv) warrants for the purchase of Common Stock, Preferred Stock, Debt Securities or other securities (the “Warrants”).</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The Debt Securities, Common Stock, Preferred Stock and Warrants are collectively referred to herein as the “Securities.” The Senior Debt Securities are to be issued under an indenture to be entered into between the Company and a financial institution to be named in a prospectus supplement (the “Trust Company”), as indenture trustee (the “Senior Base Indenture”). The Senior Subordinated Debt Securities are to be issued under an indenture to be entered into between the Company and the Trust Company, as indenture trustee (the “Senior Subordinated Base Indenture”). The Subordinated Debt Securities are to be issued under an indenture to be entered into between the Company and the Trust Company, as indenture trustee (the “Subordinated Base Indenture” and, together with the Senior Base Indenture and the Senior Subordinated Base Indenture, the “Base Indentures”).</w:t>
      </w:r>
    </w:p>
    <w:p>
      <w:pPr>
        <w:pStyle w:val="TextBody"/>
        <w:bidi w:val="0"/>
        <w:spacing w:before="0" w:after="0"/>
        <w:jc w:val="left"/>
        <w:rPr/>
      </w:pPr>
      <w:r>
        <w:rPr/>
        <w:drawing>
          <wp:inline distT="0" distB="0" distL="0" distR="0">
            <wp:extent cx="1752600" cy="200025"/>
            <wp:effectExtent l="0" t="0" r="0" b="0"/>
            <wp:docPr id="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 descr=""/>
                    <pic:cNvPicPr>
                      <a:picLocks noChangeAspect="1" noChangeArrowheads="1"/>
                    </pic:cNvPicPr>
                  </pic:nvPicPr>
                  <pic:blipFill>
                    <a:blip r:embed="rId20"/>
                    <a:stretch>
                      <a:fillRect/>
                    </a:stretch>
                  </pic:blipFill>
                  <pic:spPr bwMode="auto">
                    <a:xfrm>
                      <a:off x="0" y="0"/>
                      <a:ext cx="1752600" cy="200025"/>
                    </a:xfrm>
                    <a:prstGeom prst="rect">
                      <a:avLst/>
                    </a:prstGeom>
                  </pic:spPr>
                </pic:pic>
              </a:graphicData>
            </a:graphic>
          </wp:inline>
        </w:drawing>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15645"/>
                <wp:effectExtent l="0" t="0" r="0" b="0"/>
                <wp:wrapNone/>
                <wp:docPr id="31" name="Frame28"/>
                <a:graphic xmlns:a="http://schemas.openxmlformats.org/drawingml/2006/main">
                  <a:graphicData uri="http://schemas.microsoft.com/office/word/2010/wordprocessingShape">
                    <wps:wsp>
                      <wps:cNvSpPr txBox="1"/>
                      <wps:spPr>
                        <a:xfrm>
                          <a:off x="0" y="0"/>
                          <a:ext cx="6480175" cy="715645"/>
                        </a:xfrm>
                        <a:prstGeom prst="rect"/>
                        <a:solidFill>
                          <a:srgbClr val="FFFFFF"/>
                        </a:solidFill>
                      </wps:spPr>
                      <wps:txbx>
                        <w:txbxContent>
                          <w:tbl>
                            <w:tblPr>
                              <w:tblW w:w="6870" w:type="dxa"/>
                              <w:jc w:val="left"/>
                              <w:tblInd w:w="0" w:type="dxa"/>
                              <w:tblLayout w:type="fixed"/>
                              <w:tblCellMar>
                                <w:top w:w="28" w:type="dxa"/>
                                <w:left w:w="28" w:type="dxa"/>
                                <w:bottom w:w="28" w:type="dxa"/>
                                <w:right w:w="28" w:type="dxa"/>
                              </w:tblCellMar>
                            </w:tblPr>
                            <w:tblGrid>
                              <w:gridCol w:w="2200"/>
                              <w:gridCol w:w="1930"/>
                              <w:gridCol w:w="2740"/>
                            </w:tblGrid>
                            <w:tr>
                              <w:trPr/>
                              <w:tc>
                                <w:tcPr>
                                  <w:tcW w:w="2200" w:type="dxa"/>
                                  <w:tcBorders/>
                                  <w:vAlign w:val="center"/>
                                </w:tcPr>
                                <w:p>
                                  <w:pPr>
                                    <w:pStyle w:val="TableContents"/>
                                    <w:bidi w:val="0"/>
                                    <w:spacing w:before="0" w:after="283"/>
                                    <w:jc w:val="left"/>
                                    <w:rPr>
                                      <w:sz w:val="4"/>
                                      <w:szCs w:val="4"/>
                                    </w:rPr>
                                  </w:pPr>
                                  <w:r>
                                    <w:rPr>
                                      <w:sz w:val="4"/>
                                      <w:szCs w:val="4"/>
                                    </w:rPr>
                                  </w:r>
                                  <w:r>
                                    <w:br w:type="page"/>
                                  </w:r>
                                </w:p>
                              </w:tc>
                              <w:tc>
                                <w:tcPr>
                                  <w:tcW w:w="193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color w:val="000000"/>
                                      <w:sz w:val="14"/>
                                    </w:rPr>
                                    <w:t>Gibson, Dunn &amp; Crutcher LLP</w:t>
                                  </w:r>
                                  <w:r>
                                    <w:rPr>
                                      <w:rFonts w:ascii="Arial;sans-serif" w:hAnsi="Arial;sans-serif"/>
                                      <w:b w:val="false"/>
                                      <w:color w:val="000000"/>
                                      <w:sz w:val="14"/>
                                    </w:rPr>
                                    <w:br/>
                                    <w:t>811 Main Street Suite 3000 | Houston, TX 77002-6117 | T: 346.718.6600 | F: 346.718.6620 | gibsondunn.com</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5pt;mso-wrap-distance-left:0pt;mso-wrap-distance-right:0pt;mso-wrap-distance-top:0pt;mso-wrap-distance-bottom:0pt;margin-top:0pt;mso-position-vertical:top;mso-position-vertical-relative:text;margin-left:0pt;mso-position-horizontal:left;mso-position-horizontal-relative:text">
                <v:textbox>
                  <w:txbxContent>
                    <w:tbl>
                      <w:tblPr>
                        <w:tblW w:w="6870" w:type="dxa"/>
                        <w:jc w:val="left"/>
                        <w:tblInd w:w="0" w:type="dxa"/>
                        <w:tblLayout w:type="fixed"/>
                        <w:tblCellMar>
                          <w:top w:w="28" w:type="dxa"/>
                          <w:left w:w="28" w:type="dxa"/>
                          <w:bottom w:w="28" w:type="dxa"/>
                          <w:right w:w="28" w:type="dxa"/>
                        </w:tblCellMar>
                      </w:tblPr>
                      <w:tblGrid>
                        <w:gridCol w:w="2200"/>
                        <w:gridCol w:w="1930"/>
                        <w:gridCol w:w="2740"/>
                      </w:tblGrid>
                      <w:tr>
                        <w:trPr/>
                        <w:tc>
                          <w:tcPr>
                            <w:tcW w:w="220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color w:val="000000"/>
                                <w:sz w:val="14"/>
                              </w:rPr>
                              <w:t>Gibson, Dunn &amp; Crutcher LLP</w:t>
                            </w:r>
                            <w:r>
                              <w:rPr>
                                <w:rFonts w:ascii="Arial;sans-serif" w:hAnsi="Arial;sans-serif"/>
                                <w:b w:val="false"/>
                                <w:color w:val="000000"/>
                                <w:sz w:val="14"/>
                              </w:rPr>
                              <w:br/>
                              <w:t>811 Main Street Suite 3000 | Houston, TX 77002-6117 | T: 346.718.6600 | F: 346.718.6620 | gibsondunn.com</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641" w:type="dxa"/>
        <w:jc w:val="left"/>
        <w:tblInd w:w="0" w:type="dxa"/>
        <w:tblLayout w:type="fixed"/>
        <w:tblCellMar>
          <w:top w:w="28" w:type="dxa"/>
          <w:left w:w="28" w:type="dxa"/>
          <w:bottom w:w="28" w:type="dxa"/>
          <w:right w:w="28" w:type="dxa"/>
        </w:tblCellMar>
      </w:tblPr>
      <w:tblGrid>
        <w:gridCol w:w="1184"/>
        <w:gridCol w:w="1041"/>
        <w:gridCol w:w="1044"/>
        <w:gridCol w:w="109"/>
        <w:gridCol w:w="109"/>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NewRoman;serif" w:hAnsi="TimesNewRoman;serif"/>
                <w:b w:val="false"/>
                <w:color w:val="000000"/>
                <w:sz w:val="22"/>
              </w:rPr>
            </w:pPr>
            <w:r>
              <w:rPr>
                <w:rFonts w:ascii="TimesNewRoman;serif" w:hAnsi="TimesNewRoman;serif"/>
                <w:b w:val="false"/>
                <w:color w:val="000000"/>
                <w:sz w:val="22"/>
              </w:rPr>
              <w:t>Forum Energy Technologies, Inc.</w:t>
              <w:br/>
              <w:t>August 28, 2026</w:t>
            </w:r>
          </w:p>
          <w:p>
            <w:pPr>
              <w:pStyle w:val="TableContents"/>
              <w:bidi w:val="0"/>
              <w:spacing w:lineRule="auto" w:line="288" w:before="0" w:after="0"/>
              <w:jc w:val="left"/>
              <w:rPr>
                <w:rFonts w:ascii="TimesNewRoman;serif" w:hAnsi="TimesNewRoman;serif"/>
                <w:b w:val="false"/>
                <w:color w:val="000000"/>
                <w:sz w:val="22"/>
              </w:rPr>
            </w:pPr>
            <w:r>
              <w:rPr>
                <w:rFonts w:ascii="TimesNewRoman;serif" w:hAnsi="TimesNewRoman;serif"/>
                <w:b w:val="false"/>
                <w:color w:val="000000"/>
                <w:sz w:val="22"/>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In arriving at the opinions expressed below, we have examined originals, or copies certified or otherwise identified to our satisfaction as being true and complete copies of the originals, of specimen Common Stock certificates and such other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We have assumed without independent investigation that:</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(i) at the time any Securities are sold pursuant to the Registration Statement (the “Relevant Time”), the Registration Statement and any supplements and amendments thereto (including post-effective amendments) will be effective and will comply with all applicable laws;</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(ii) at the Relevant Time, a prospectus supplement will have been prepared and filed with the Commission describing the Securities offered thereby and all related documentation and will comply with all applicable laws;</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(iii) all Securities will be issued and sold in the manner stated in the Registration Statement and the applicable prospectus supplement;</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(iv) at the Relevant Time, all corporate or other action required to be taken by the Company to duly authorize each proposed issuance of Securities and any related documentation (including (i) the due reservation of any shares of Common Stock or Preferred Stock for issuance upon exercise, conversion or exchange of any Securities for Common Stock or Preferred Stock (a “Convertible Security”), and (ii) the execution (in the case of certificated Securities), delivery and performance of the Securities and any related documentation referred to in paragraphs 1 through 4 below) shall have been duly completed and shall remain in full force and effect;</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(v) upon issuance of any Common Stock or Preferred Stock, including upon exercise, conversion or exchange of any Convertible Security, the total number of shares of Common Stock or Preferred Stock issued and outstanding will not exceed the total number of shares of Common Stock or Preferred Stock, as applicable, that the Company is then authorized to issue under its certificate of incorporation and other relevant documents;</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 xml:space="preserve">(vi) in the case of Debt Securities, at the Relevant Time, the relevant trustee shall have been qualified under the Trust Indenture Act of 1939, as amended (the “TIA”), a Statement of Eligibility of the Trustee on Form T-1 shall have been properly filed with the Commission and the relevant Base Indenture </w:t>
      </w:r>
    </w:p>
    <w:p>
      <w:pPr>
        <w:pStyle w:val="TextBody"/>
        <w:bidi w:val="0"/>
        <w:spacing w:before="0" w:after="0"/>
        <w:jc w:val="left"/>
        <w:rPr/>
      </w:pPr>
      <w:r>
        <w:rPr/>
        <w:drawing>
          <wp:inline distT="0" distB="0" distL="0" distR="0">
            <wp:extent cx="1752600" cy="200025"/>
            <wp:effectExtent l="0" t="0" r="0" b="0"/>
            <wp:docPr id="3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 descr=""/>
                    <pic:cNvPicPr>
                      <a:picLocks noChangeAspect="1" noChangeArrowheads="1"/>
                    </pic:cNvPicPr>
                  </pic:nvPicPr>
                  <pic:blipFill>
                    <a:blip r:embed="rId21"/>
                    <a:stretch>
                      <a:fillRect/>
                    </a:stretch>
                  </pic:blipFill>
                  <pic:spPr bwMode="auto">
                    <a:xfrm>
                      <a:off x="0" y="0"/>
                      <a:ext cx="1752600" cy="200025"/>
                    </a:xfrm>
                    <a:prstGeom prst="rect">
                      <a:avLst/>
                    </a:prstGeom>
                  </pic:spPr>
                </pic:pic>
              </a:graphicData>
            </a:graphic>
          </wp:inline>
        </w:drawing>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3"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641" w:type="dxa"/>
        <w:jc w:val="left"/>
        <w:tblInd w:w="0" w:type="dxa"/>
        <w:tblLayout w:type="fixed"/>
        <w:tblCellMar>
          <w:top w:w="28" w:type="dxa"/>
          <w:left w:w="28" w:type="dxa"/>
          <w:bottom w:w="28" w:type="dxa"/>
          <w:right w:w="28" w:type="dxa"/>
        </w:tblCellMar>
      </w:tblPr>
      <w:tblGrid>
        <w:gridCol w:w="1184"/>
        <w:gridCol w:w="1041"/>
        <w:gridCol w:w="1044"/>
        <w:gridCol w:w="109"/>
        <w:gridCol w:w="109"/>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NewRoman;serif" w:hAnsi="TimesNewRoman;serif"/>
                <w:b w:val="false"/>
                <w:color w:val="000000"/>
                <w:sz w:val="22"/>
              </w:rPr>
            </w:pPr>
            <w:r>
              <w:rPr>
                <w:rFonts w:ascii="TimesNewRoman;serif" w:hAnsi="TimesNewRoman;serif"/>
                <w:b w:val="false"/>
                <w:color w:val="000000"/>
                <w:sz w:val="22"/>
              </w:rPr>
              <w:t>Forum Energy Technologies, Inc.</w:t>
              <w:br/>
              <w:t>August 28, 2026</w:t>
            </w:r>
          </w:p>
          <w:p>
            <w:pPr>
              <w:pStyle w:val="TableContents"/>
              <w:bidi w:val="0"/>
              <w:spacing w:lineRule="auto" w:line="288" w:before="0" w:after="0"/>
              <w:jc w:val="left"/>
              <w:rPr>
                <w:rFonts w:ascii="TimesNewRoman;serif" w:hAnsi="TimesNewRoman;serif"/>
                <w:b w:val="false"/>
                <w:color w:val="000000"/>
                <w:sz w:val="22"/>
              </w:rPr>
            </w:pPr>
            <w:r>
              <w:rPr>
                <w:rFonts w:ascii="TimesNewRoman;serif" w:hAnsi="TimesNewRoman;serif"/>
                <w:b w:val="false"/>
                <w:color w:val="000000"/>
                <w:sz w:val="22"/>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shall have been duly executed and delivered by the Company and all other parties thereto and duly qualified under the TIA; and</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(vii) at the Relevant Time, a definitive purchase, underwriting or similar agreement and any other necessary agreement with respect to any Securities offered or issued will have been duly authorized by all necessary corporate or other action of the Company and duly executed and delivered by the Company and the other parties thereto.</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Based on the foregoing and in reliance thereon, and subject to the assumptions, exceptions, qualifications and limitations set forth herein, we are of the opinion that:</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1.With respect to any Debt Securities, when:</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a.the terms and conditions of such Debt Securities have been duly established by supplemental indenture or officers’ certificate in accordance with the terms and conditions of the relevant Base Indenture,</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b.any such supplemental indenture has been duly executed and delivered by the Company and the relevant trustee (together with the relevant Base Indenture, the “Indenture”), and</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c.such Debt Securities have been executed (in the case of certificated Debt Securities), delivered and authenticated in accordance with the terms of the applicable Indenture and issued and sold for the consideration set forth in the applicable definitive purchase, underwriting or similar agreement,</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such Debt Securities will be legal, valid and binding obligations of the Company, enforceable against the Company in accordance with their respective terms.</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2.With respect to any shares of Preferred Stock, when:</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a.the certificate of designations relating to such Preferred Stock (the “Certificate of Designations”) has been duly executed and filed with the Office of the Secretary of State of the State of Delaware,</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b.such shares have been issued either (i) in accordance with the applicable definitive purchase, underwriting or similar agreement and for the consideration therefor provided for therein or (ii) upon exercise, conversion or exchange of any Convertible Security and for any additional consideration specified in such Convertible Security or the instrument governing such Convertible Security providing for such conversion or exercise, which consideration (including any consideration paid for such Convertible Security), on a per-share basis, shall in either event not be less than the par value of the Preferred Stock, and</w:t>
      </w:r>
    </w:p>
    <w:p>
      <w:pPr>
        <w:pStyle w:val="TextBody"/>
        <w:bidi w:val="0"/>
        <w:spacing w:before="0" w:after="0"/>
        <w:jc w:val="left"/>
        <w:rPr/>
      </w:pPr>
      <w:r>
        <w:rPr/>
        <w:drawing>
          <wp:inline distT="0" distB="0" distL="0" distR="0">
            <wp:extent cx="1752600" cy="200025"/>
            <wp:effectExtent l="0" t="0" r="0" b="0"/>
            <wp:docPr id="3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 descr=""/>
                    <pic:cNvPicPr>
                      <a:picLocks noChangeAspect="1" noChangeArrowheads="1"/>
                    </pic:cNvPicPr>
                  </pic:nvPicPr>
                  <pic:blipFill>
                    <a:blip r:embed="rId22"/>
                    <a:stretch>
                      <a:fillRect/>
                    </a:stretch>
                  </pic:blipFill>
                  <pic:spPr bwMode="auto">
                    <a:xfrm>
                      <a:off x="0" y="0"/>
                      <a:ext cx="1752600" cy="200025"/>
                    </a:xfrm>
                    <a:prstGeom prst="rect">
                      <a:avLst/>
                    </a:prstGeom>
                  </pic:spPr>
                </pic:pic>
              </a:graphicData>
            </a:graphic>
          </wp:inline>
        </w:drawing>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5"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641" w:type="dxa"/>
        <w:jc w:val="left"/>
        <w:tblInd w:w="0" w:type="dxa"/>
        <w:tblLayout w:type="fixed"/>
        <w:tblCellMar>
          <w:top w:w="28" w:type="dxa"/>
          <w:left w:w="28" w:type="dxa"/>
          <w:bottom w:w="28" w:type="dxa"/>
          <w:right w:w="28" w:type="dxa"/>
        </w:tblCellMar>
      </w:tblPr>
      <w:tblGrid>
        <w:gridCol w:w="1184"/>
        <w:gridCol w:w="1041"/>
        <w:gridCol w:w="1044"/>
        <w:gridCol w:w="109"/>
        <w:gridCol w:w="109"/>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NewRoman;serif" w:hAnsi="TimesNewRoman;serif"/>
                <w:b w:val="false"/>
                <w:color w:val="000000"/>
                <w:sz w:val="22"/>
              </w:rPr>
            </w:pPr>
            <w:r>
              <w:rPr>
                <w:rFonts w:ascii="TimesNewRoman;serif" w:hAnsi="TimesNewRoman;serif"/>
                <w:b w:val="false"/>
                <w:color w:val="000000"/>
                <w:sz w:val="22"/>
              </w:rPr>
              <w:t>Forum Energy Technologies, Inc.</w:t>
              <w:br/>
              <w:t>August 28, 2026</w:t>
            </w:r>
          </w:p>
          <w:p>
            <w:pPr>
              <w:pStyle w:val="TableContents"/>
              <w:bidi w:val="0"/>
              <w:spacing w:lineRule="auto" w:line="288" w:before="0" w:after="0"/>
              <w:jc w:val="left"/>
              <w:rPr>
                <w:rFonts w:ascii="TimesNewRoman;serif" w:hAnsi="TimesNewRoman;serif"/>
                <w:b w:val="false"/>
                <w:color w:val="000000"/>
                <w:sz w:val="22"/>
              </w:rPr>
            </w:pPr>
            <w:r>
              <w:rPr>
                <w:rFonts w:ascii="TimesNewRoman;serif" w:hAnsi="TimesNewRoman;serif"/>
                <w:b w:val="false"/>
                <w:color w:val="000000"/>
                <w:sz w:val="22"/>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 xml:space="preserve">c.any such Convertible Security was previously validly issued and is fully paid and non-assessable (in the case of an equity Security) or is a legal, valid and binding obligation of the Company, enforceable against the Company in accordance with its terms, </w:t>
      </w:r>
    </w:p>
    <w:p>
      <w:pPr>
        <w:pStyle w:val="TextBody"/>
        <w:bidi w:val="0"/>
        <w:spacing w:lineRule="auto" w:line="240"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such shares of Preferred Stock will be validly issued, fully paid and non-assessable.</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3.With respect to shares of Common Stock, when:</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a.such shares of Common Stock have been duly executed (in the case of certificated shares) and delivered either (i) in accordance with the applicable definitive purchase, underwriting or similar agreement for the consideration provided for therein, or (ii) upon conversion or exercise of any Convertible Security, in accordance with the terms of such Convertible Security or the instrument governing such Convertible Security providing for such conversion or exercise, and for any additional consideration specified therein, which consideration (including any consideration paid for such Convertible Security), on a per-share basis, shall in either event not be less than the par value of the Common Stock, and</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 xml:space="preserve">b.any such Convertible Security was previously validly issued and is fully paid and non-assessable (in the case of an equity Security) or is a legal, valid and binding obligation of the Company, enforceable against the Company in accordance with its terms, </w:t>
      </w:r>
    </w:p>
    <w:p>
      <w:pPr>
        <w:pStyle w:val="TextBody"/>
        <w:bidi w:val="0"/>
        <w:spacing w:lineRule="auto" w:line="240"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such shares of Common Stock will be validly issued, fully paid and non-assessable.</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4.With respect to any Warrants, when:</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a.the warrant agreement relating to such Warrants (the “Warrant Agreement”), if any, has been duly executed and delivered by the Company and each other party thereto,</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b.the terms of the Warrants have been established in accordance with the Warrant Agreement, if any, and the applicable definitive purchase, underwriting or similar agreement, and</w:t>
      </w:r>
    </w:p>
    <w:p>
      <w:pPr>
        <w:pStyle w:val="TextBody"/>
        <w:bidi w:val="0"/>
        <w:spacing w:lineRule="auto" w:line="240" w:before="0" w:after="240"/>
        <w:ind w:left="0" w:right="0" w:hanging="720"/>
        <w:jc w:val="left"/>
        <w:rPr>
          <w:rFonts w:ascii="TimesNewRoman;serif" w:hAnsi="TimesNewRoman;serif"/>
          <w:b w:val="false"/>
          <w:color w:val="000000"/>
          <w:sz w:val="22"/>
        </w:rPr>
      </w:pPr>
      <w:r>
        <w:rPr>
          <w:rFonts w:ascii="TimesNewRoman;serif" w:hAnsi="TimesNewRoman;serif"/>
          <w:b w:val="false"/>
          <w:color w:val="000000"/>
          <w:sz w:val="22"/>
        </w:rPr>
        <w:t>c.the Warrants have been duly executed (in the case of certificated Warrants) and delivered in accordance with the Warrant Agreement, if any, and the applicable definitive purchase, underwriting or similar agreement for the consideration provided for therein,</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such Warrants will be legal, valid and binding obligations of the Company, enforceable against the Company in accordance with their terms.</w:t>
      </w:r>
    </w:p>
    <w:p>
      <w:pPr>
        <w:pStyle w:val="TextBody"/>
        <w:bidi w:val="0"/>
        <w:spacing w:before="0" w:after="0"/>
        <w:jc w:val="left"/>
        <w:rPr/>
      </w:pPr>
      <w:r>
        <w:rPr/>
        <w:drawing>
          <wp:inline distT="0" distB="0" distL="0" distR="0">
            <wp:extent cx="1752600" cy="200025"/>
            <wp:effectExtent l="0" t="0" r="0" b="0"/>
            <wp:docPr id="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 descr=""/>
                    <pic:cNvPicPr>
                      <a:picLocks noChangeAspect="1" noChangeArrowheads="1"/>
                    </pic:cNvPicPr>
                  </pic:nvPicPr>
                  <pic:blipFill>
                    <a:blip r:embed="rId23"/>
                    <a:stretch>
                      <a:fillRect/>
                    </a:stretch>
                  </pic:blipFill>
                  <pic:spPr bwMode="auto">
                    <a:xfrm>
                      <a:off x="0" y="0"/>
                      <a:ext cx="1752600" cy="200025"/>
                    </a:xfrm>
                    <a:prstGeom prst="rect">
                      <a:avLst/>
                    </a:prstGeom>
                  </pic:spPr>
                </pic:pic>
              </a:graphicData>
            </a:graphic>
          </wp:inline>
        </w:drawing>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641" w:type="dxa"/>
        <w:jc w:val="left"/>
        <w:tblInd w:w="0" w:type="dxa"/>
        <w:tblLayout w:type="fixed"/>
        <w:tblCellMar>
          <w:top w:w="28" w:type="dxa"/>
          <w:left w:w="28" w:type="dxa"/>
          <w:bottom w:w="28" w:type="dxa"/>
          <w:right w:w="28" w:type="dxa"/>
        </w:tblCellMar>
      </w:tblPr>
      <w:tblGrid>
        <w:gridCol w:w="1184"/>
        <w:gridCol w:w="1041"/>
        <w:gridCol w:w="1044"/>
        <w:gridCol w:w="109"/>
        <w:gridCol w:w="109"/>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NewRoman;serif" w:hAnsi="TimesNewRoman;serif"/>
                <w:b w:val="false"/>
                <w:color w:val="000000"/>
                <w:sz w:val="22"/>
              </w:rPr>
            </w:pPr>
            <w:r>
              <w:rPr>
                <w:rFonts w:ascii="TimesNewRoman;serif" w:hAnsi="TimesNewRoman;serif"/>
                <w:b w:val="false"/>
                <w:color w:val="000000"/>
                <w:sz w:val="22"/>
              </w:rPr>
              <w:t>Forum Energy Technologies, Inc.</w:t>
              <w:br/>
              <w:t>August 28, 2026</w:t>
            </w:r>
          </w:p>
          <w:p>
            <w:pPr>
              <w:pStyle w:val="TableContents"/>
              <w:bidi w:val="0"/>
              <w:spacing w:lineRule="auto" w:line="288" w:before="0" w:after="0"/>
              <w:jc w:val="left"/>
              <w:rPr>
                <w:rFonts w:ascii="TimesNewRoman;serif" w:hAnsi="TimesNewRoman;serif"/>
                <w:b w:val="false"/>
                <w:color w:val="000000"/>
                <w:sz w:val="22"/>
              </w:rPr>
            </w:pPr>
            <w:r>
              <w:rPr>
                <w:rFonts w:ascii="TimesNewRoman;serif" w:hAnsi="TimesNewRoman;serif"/>
                <w:b w:val="false"/>
                <w:color w:val="000000"/>
                <w:sz w:val="22"/>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The opinions expressed above are subject to the following exceptions, qualifications, limitations and assumptions:</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A. We render no opinion herein as to matters involving the laws of any jurisdiction other than the State of New York and the United States of America and, for purposes of paragraphs 2 and 3 above, the Delaware General Corporation Law. We are not admitted to practice in the State of Delaware; however, we are generally familiar with the Delaware General Corporation Law as currently in effect and have made such inquiries as we consider necessary to render the opinions contained in paragraphs 2 and 3 above. This opinion is limited to the effect of the current state of the laws of the State of New York, the United States of America and, to the limited extent set forth above, the laws of the State of Delaware and the facts as they currently exist. We assume no obligation to revise or supplement this opinion in the event of future changes in such laws or the interpretations thereof or such facts.</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B. The opinions above with respect to the Indentures, the Debt Securities, the Warrants and the Warrant Agreement (collectively, the “Documents”)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C. We express no opinion regarding the effectiveness of (i) any waiver of stay, extension or usury laws or of unknown future rights; (ii) any waiver (whether or not stated as such) under any Indenture or any other Document of, or any consent thereunder relating to, unknown future rights or the rights of any party thereto existing, or duties owing to it, as a matter of law; (iii) any waiver (whether or not stated as such) contained in any Indenture or any other Document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“savings” clause; (vi) any waiver of the right to jury trial; or (vii) any provision to the effect that every right or remedy is cumulative and may be exercised in addition to any other right or remedy or that the election of some particular remedy does not preclude recourse to one or more others.</w:t>
      </w:r>
    </w:p>
    <w:p>
      <w:pPr>
        <w:pStyle w:val="TextBody"/>
        <w:bidi w:val="0"/>
        <w:spacing w:lineRule="auto" w:line="288" w:before="0" w:after="240"/>
        <w:ind w:left="0" w:right="0" w:firstLine="720"/>
        <w:jc w:val="left"/>
        <w:rPr>
          <w:rFonts w:ascii="TimesNewRoman;serif" w:hAnsi="TimesNewRoman;serif"/>
          <w:b w:val="false"/>
          <w:color w:val="000000"/>
          <w:sz w:val="22"/>
        </w:rPr>
      </w:pPr>
      <w:r>
        <w:rPr>
          <w:rFonts w:ascii="TimesNewRoman;serif" w:hAnsi="TimesNewRoman;serif"/>
          <w:b w:val="false"/>
          <w:color w:val="000000"/>
          <w:sz w:val="22"/>
        </w:rPr>
        <w:t>D. To the extent relevant to our opinion in paragraph 4 and not covered by our opinions in paragraphs 1, 2 or 3, we have assumed that any securities, currencies or commodities underlying, comprising or issuable upon exchange, conversion or exercise of any Warrants are validly issued, fully paid and non-assessable (in the case of an equity security) or a legal, valid and binding obligation of the issuer thereof, enforceable against such issuer in accordance with its terms.</w:t>
      </w:r>
    </w:p>
    <w:p>
      <w:pPr>
        <w:pStyle w:val="TextBody"/>
        <w:bidi w:val="0"/>
        <w:spacing w:before="0" w:after="0"/>
        <w:jc w:val="left"/>
        <w:rPr/>
      </w:pPr>
      <w:r>
        <w:rPr/>
        <w:drawing>
          <wp:inline distT="0" distB="0" distL="0" distR="0">
            <wp:extent cx="1752600" cy="200025"/>
            <wp:effectExtent l="0" t="0" r="0" b="0"/>
            <wp:docPr id="3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7" descr=""/>
                    <pic:cNvPicPr>
                      <a:picLocks noChangeAspect="1" noChangeArrowheads="1"/>
                    </pic:cNvPicPr>
                  </pic:nvPicPr>
                  <pic:blipFill>
                    <a:blip r:embed="rId24"/>
                    <a:stretch>
                      <a:fillRect/>
                    </a:stretch>
                  </pic:blipFill>
                  <pic:spPr bwMode="auto">
                    <a:xfrm>
                      <a:off x="0" y="0"/>
                      <a:ext cx="1752600" cy="200025"/>
                    </a:xfrm>
                    <a:prstGeom prst="rect">
                      <a:avLst/>
                    </a:prstGeom>
                  </pic:spPr>
                </pic:pic>
              </a:graphicData>
            </a:graphic>
          </wp:inline>
        </w:drawing>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641" w:type="dxa"/>
        <w:jc w:val="left"/>
        <w:tblInd w:w="0" w:type="dxa"/>
        <w:tblLayout w:type="fixed"/>
        <w:tblCellMar>
          <w:top w:w="28" w:type="dxa"/>
          <w:left w:w="28" w:type="dxa"/>
          <w:bottom w:w="28" w:type="dxa"/>
          <w:right w:w="28" w:type="dxa"/>
        </w:tblCellMar>
      </w:tblPr>
      <w:tblGrid>
        <w:gridCol w:w="1184"/>
        <w:gridCol w:w="1041"/>
        <w:gridCol w:w="1044"/>
        <w:gridCol w:w="109"/>
        <w:gridCol w:w="109"/>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NewRoman;serif" w:hAnsi="TimesNewRoman;serif"/>
                <w:b w:val="false"/>
                <w:color w:val="000000"/>
                <w:sz w:val="22"/>
              </w:rPr>
            </w:pPr>
            <w:r>
              <w:rPr>
                <w:rFonts w:ascii="TimesNewRoman;serif" w:hAnsi="TimesNewRoman;serif"/>
                <w:b w:val="false"/>
                <w:color w:val="000000"/>
                <w:sz w:val="22"/>
              </w:rPr>
              <w:t>Forum Energy Technologies, Inc.</w:t>
              <w:br/>
              <w:t>August 28, 2026</w:t>
            </w:r>
          </w:p>
          <w:p>
            <w:pPr>
              <w:pStyle w:val="TableContents"/>
              <w:bidi w:val="0"/>
              <w:spacing w:lineRule="auto" w:line="288" w:before="0" w:after="0"/>
              <w:jc w:val="left"/>
              <w:rPr>
                <w:rFonts w:ascii="TimesNewRoman;serif" w:hAnsi="TimesNewRoman;serif"/>
                <w:b w:val="false"/>
                <w:color w:val="000000"/>
                <w:sz w:val="22"/>
              </w:rPr>
            </w:pPr>
            <w:r>
              <w:rPr>
                <w:rFonts w:ascii="TimesNewRoman;serif" w:hAnsi="TimesNewRoman;serif"/>
                <w:b w:val="false"/>
                <w:color w:val="000000"/>
                <w:sz w:val="22"/>
              </w:rPr>
              <w:t>Page 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Very truly yours,</w:t>
      </w:r>
    </w:p>
    <w:p>
      <w:pPr>
        <w:pStyle w:val="TextBody"/>
        <w:bidi w:val="0"/>
        <w:spacing w:lineRule="auto" w:line="288" w:before="0" w:after="240"/>
        <w:jc w:val="left"/>
        <w:rPr>
          <w:rFonts w:ascii="TimesNewRoman;serif" w:hAnsi="TimesNewRoman;serif"/>
          <w:b w:val="false"/>
          <w:color w:val="000000"/>
          <w:sz w:val="22"/>
        </w:rPr>
      </w:pPr>
      <w:r>
        <w:rPr>
          <w:rFonts w:ascii="TimesNewRoman;serif" w:hAnsi="TimesNewRoman;serif"/>
          <w:b w:val="false"/>
          <w:color w:val="000000"/>
          <w:sz w:val="22"/>
        </w:rPr>
        <w:t>/s/ Gibson, Dunn &amp; Crutcher LLP</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23.1</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 xml:space="preserve">CONSENT OF INDEPENDENT REGISTERED PUBLIC ACCOUNTING FIRM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4"/>
        </w:rPr>
        <w:t>We consent to the incorporation by reference in this Registration Statement on Form S-3 of our reports dated February 27, 2026, relating to the consolidated financial statements of Forum Energy Technologies, Inc. and the effectiveness of Forum Energy Technologies, Inc.’s internal control over financial reporting, appearing in the Annual Report on Form 10-K of Forum Energy Technologies, Inc. for the year ended December 31, 2025</w:t>
      </w:r>
      <w:r>
        <w:rPr>
          <w:rFonts w:ascii="Roboto;sans-serif" w:hAnsi="Roboto;sans-serif"/>
          <w:b w:val="false"/>
          <w:color w:val="000000"/>
          <w:sz w:val="21"/>
          <w:shd w:fill="FFFFFF" w:val="clear"/>
        </w:rPr>
        <w:t xml:space="preserve">. </w:t>
      </w:r>
      <w:r>
        <w:rPr>
          <w:rFonts w:ascii="Arial;sans-serif" w:hAnsi="Arial;sans-serif"/>
          <w:b w:val="false"/>
          <w:color w:val="000000"/>
          <w:sz w:val="24"/>
        </w:rPr>
        <w:t>We also consent to the reference to us under the heading "Experts" in such Registration Statement.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/s/ Deloitte &amp; Touche LLP</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Houston, Texas</w:t>
      </w:r>
    </w:p>
    <w:p>
      <w:pPr>
        <w:pStyle w:val="TextBody"/>
        <w:bidi w:val="0"/>
        <w:spacing w:lineRule="auto" w:line="268"/>
        <w:jc w:val="left"/>
        <w:rPr>
          <w:rFonts w:ascii="Arial;sans-serif" w:hAnsi="Arial;sans-serif"/>
          <w:b w:val="false"/>
          <w:color w:val="000000"/>
          <w:sz w:val="24"/>
        </w:rPr>
      </w:pPr>
      <w:r>
        <w:rPr>
          <w:rFonts w:ascii="Arial;sans-serif" w:hAnsi="Arial;sans-serif"/>
          <w:b w:val="false"/>
          <w:color w:val="000000"/>
          <w:sz w:val="24"/>
        </w:rPr>
        <w:t>August 28, 2026</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NewRoman">
    <w:altName w:val="serif"/>
    <w:charset w:val="01"/>
    <w:family w:val="auto"/>
    <w:pitch w:val="default"/>
  </w:font>
  <w:font w:name="Arial">
    <w:altName w:val="sans-serif"/>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01257/000140125726000015/fet-20251231.htm" TargetMode="External"/><Relationship Id="rId4" Type="http://schemas.openxmlformats.org/officeDocument/2006/relationships/hyperlink" Target="https://www.sec.gov/ix?doc=/Archives/edgar/data/0001401257/000140125726000034/fet-20260331.htm" TargetMode="External"/><Relationship Id="rId5" Type="http://schemas.openxmlformats.org/officeDocument/2006/relationships/hyperlink" Target="https://www.sec.gov/ix?doc=/Archives/edgar/data/0001401257/000140125726000053/fet-20260630.htm" TargetMode="External"/><Relationship Id="rId6" Type="http://schemas.openxmlformats.org/officeDocument/2006/relationships/hyperlink" Target="https://www.sec.gov/ix?doc=/Archives/edgar/data/0001401257/000140125726000002/fet-20260112.htm" TargetMode="External"/><Relationship Id="rId7" Type="http://schemas.openxmlformats.org/officeDocument/2006/relationships/hyperlink" Target="https://www.sec.gov/ix?doc=/Archives/edgar/data/0001401257/000140125726000005/fet-20260204.htm" TargetMode="External"/><Relationship Id="rId8" Type="http://schemas.openxmlformats.org/officeDocument/2006/relationships/hyperlink" Target="https://www.sec.gov/ix?doc=/Archives/edgar/data/0001401257/000140125726000039/fet-20260508.htm" TargetMode="External"/><Relationship Id="rId9" Type="http://schemas.openxmlformats.org/officeDocument/2006/relationships/hyperlink" Target="https://www.sec.gov/Archives/edgar/data/1401257/000140125725000089/exhibit41-descriptionofsec.htm" TargetMode="External"/><Relationship Id="rId10" Type="http://schemas.openxmlformats.org/officeDocument/2006/relationships/hyperlink" Target="https://www.sec.gov/Archives/edgar/data/1401257/000119312512138321/d196452dex32.htm" TargetMode="External"/><Relationship Id="rId11" Type="http://schemas.openxmlformats.org/officeDocument/2006/relationships/hyperlink" Target="https://www.sec.gov/Archives/edgar/data/1401257/000140125720000157/fet-certificateofamend.htm" TargetMode="External"/><Relationship Id="rId12" Type="http://schemas.openxmlformats.org/officeDocument/2006/relationships/hyperlink" Target="https://www.sec.gov/Archives/edgar/data/1401257/000140125720000157/fet-certificateofamend.htm" TargetMode="External"/><Relationship Id="rId13" Type="http://schemas.openxmlformats.org/officeDocument/2006/relationships/hyperlink" Target="https://www.sec.gov/Archives/edgar/data/1401257/000140125720000157/fet-certificateofamend.htm" TargetMode="External"/><Relationship Id="rId14" Type="http://schemas.openxmlformats.org/officeDocument/2006/relationships/hyperlink" Target="https://www.sec.gov/Archives/edgar/data/1401257/000140125725000072/exhibit31-certificateofame.htm" TargetMode="External"/><Relationship Id="rId15" Type="http://schemas.openxmlformats.org/officeDocument/2006/relationships/hyperlink" Target="https://www.sec.gov/Archives/edgar/data/1401257/000140125725000072/exhibit31-certificateofame.htm" TargetMode="External"/><Relationship Id="rId16" Type="http://schemas.openxmlformats.org/officeDocument/2006/relationships/hyperlink" Target="https://www.sec.gov/Archives/edgar/data/1401257/000140125725000072/exhibit31-certificateofame.htm" TargetMode="External"/><Relationship Id="rId17" Type="http://schemas.openxmlformats.org/officeDocument/2006/relationships/hyperlink" Target="https://www.sec.gov/Archives/edgar/data/1401257/000140125723000056/a05bthirdamendedandrestate.htm" TargetMode="External"/><Relationship Id="rId18" Type="http://schemas.openxmlformats.org/officeDocument/2006/relationships/hyperlink" Target="https://www.sec.gov/Archives/edgar/data/1401257/000119312511355636/d196452dex41.htm" TargetMode="External"/><Relationship Id="rId19" Type="http://schemas.openxmlformats.org/officeDocument/2006/relationships/image" Target="media/image2.png"/><Relationship Id="rId20" Type="http://schemas.openxmlformats.org/officeDocument/2006/relationships/image" Target="media/image2.png"/><Relationship Id="rId21" Type="http://schemas.openxmlformats.org/officeDocument/2006/relationships/image" Target="media/image2.png"/><Relationship Id="rId22" Type="http://schemas.openxmlformats.org/officeDocument/2006/relationships/image" Target="media/image2.png"/><Relationship Id="rId23" Type="http://schemas.openxmlformats.org/officeDocument/2006/relationships/image" Target="media/image2.png"/><Relationship Id="rId24" Type="http://schemas.openxmlformats.org/officeDocument/2006/relationships/image" Target="media/image2.pn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12064</Words>
  <Characters>65146</Characters>
  <CharactersWithSpaces>76975</CharactersWithSpaces>
  <Paragraphs>595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