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FORUM ENERGY TECHNOLOGIES, INC.</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001-35504</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61-1488595</w:t>
            </w:r>
          </w:p>
        </w:tc>
      </w:tr>
      <w:tr>
        <w:trPr>
          <w:trHeight w:val="252"/>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(Commission</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File Number)</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7"/>
        </w:trPr>
        <w:tc>
          <w:tcPr>
            <w:tcW w:w="38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10344 Sam Houston Park Drive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TX</w:t>
            </w:r>
          </w:p>
        </w:tc>
        <w:tc>
          <w:tcPr>
            <w:tcW w:w="17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77064</w:t>
            </w:r>
          </w:p>
        </w:tc>
      </w:tr>
      <w:tr>
        <w:trPr>
          <w:trHeight w:val="234"/>
        </w:trPr>
        <w:tc>
          <w:tcPr>
            <w:tcW w:w="614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20" w:type="dxa"/>
            <w:vAlign w:val="bottom"/>
          </w:tcPr>
          <w:p>
            <w:pPr>
              <w:spacing w:after="0"/>
              <w:rPr>
                <w:sz w:val="20"/>
                <w:szCs w:val="20"/>
                <w:color w:val="auto"/>
              </w:rPr>
            </w:pPr>
          </w:p>
        </w:tc>
        <w:tc>
          <w:tcPr>
            <w:tcW w:w="1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7"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281 949-2500</w:t>
      </w:r>
    </w:p>
    <w:p>
      <w:pPr>
        <w:spacing w:after="0" w:line="12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5500" w:type="dxa"/>
            <w:vAlign w:val="bottom"/>
            <w:gridSpan w:val="2"/>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18"/>
        </w:trPr>
        <w:tc>
          <w:tcPr>
            <w:tcW w:w="5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60" w:type="dxa"/>
            <w:vAlign w:val="bottom"/>
          </w:tcPr>
          <w:p>
            <w:pPr>
              <w:spacing w:after="0"/>
              <w:rPr>
                <w:sz w:val="18"/>
                <w:szCs w:val="18"/>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FET</w:t>
            </w:r>
          </w:p>
        </w:tc>
        <w:tc>
          <w:tcPr>
            <w:tcW w:w="180" w:type="dxa"/>
            <w:vAlign w:val="bottom"/>
          </w:tcPr>
          <w:p>
            <w:pPr>
              <w:spacing w:after="0"/>
              <w:rPr>
                <w:sz w:val="18"/>
                <w:szCs w:val="18"/>
                <w:color w:val="auto"/>
              </w:rPr>
            </w:pPr>
          </w:p>
        </w:tc>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 Inc.</w:t>
            </w:r>
          </w:p>
        </w:tc>
        <w:tc>
          <w:tcPr>
            <w:tcW w:w="0" w:type="dxa"/>
            <w:vAlign w:val="bottom"/>
          </w:tcPr>
          <w:p>
            <w:pPr>
              <w:spacing w:after="0"/>
              <w:rPr>
                <w:sz w:val="1"/>
                <w:szCs w:val="1"/>
                <w:color w:val="auto"/>
              </w:rPr>
            </w:pPr>
          </w:p>
        </w:tc>
      </w:tr>
    </w:tbl>
    <w:p>
      <w:pPr>
        <w:spacing w:after="0" w:line="117" w:lineRule="exact"/>
        <w:rPr>
          <w:sz w:val="24"/>
          <w:szCs w:val="24"/>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211D1E"/>
        </w:rPr>
        <w:t xml:space="preserve">Emerging growth company </w:t>
      </w:r>
      <w:r>
        <w:rPr>
          <w:rFonts w:ascii="MS PGothic" w:cs="MS PGothic" w:eastAsia="MS PGothic" w:hAnsi="MS PGothic"/>
          <w:sz w:val="18"/>
          <w:szCs w:val="18"/>
          <w:color w:val="000000"/>
        </w:rPr>
        <w:t>☐</w:t>
      </w:r>
    </w:p>
    <w:p>
      <w:pPr>
        <w:spacing w:after="0" w:line="198" w:lineRule="exact"/>
        <w:rPr>
          <w:sz w:val="24"/>
          <w:szCs w:val="24"/>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On October 29, 2026, Forum Energy Technologies,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announcing earnings for the quarter ended September 30, 2026. A copy of the release is furnished herewith as Exhibit 99.1 and incorporated herein by reference.</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Exhibit 99.1 to this report contains “non-GAAP financial measures” as defined in Item 10 of Regulation S-K of the Securities Exchange Act of 1934, as amended (the “Exchange Act”). The non-GAAP financial measures reflect earnings before interest, taxes, depreciation and amortization expense (“EBITDA”), adjusted EBITDA, adjusted EBITDA margin, adjusted operating income, adjusted net income, adjusted net income margin, adjusted net income per diluted share (“Adjusted Diluted EPS”), book to bill ratio, free cash flow before acquisitions (“free cash flow”) and net leverage ratio. A reconciliation of EBITDA, adjusted EBITDA, adjusted operating income, adjusted net income, Adjusted Diluted EPS, book to bill ratio and free cash flow to the most directly comparable financial measures calculated and presented in accordance with Generally Accepted Accounting Principles in the United States (“GAAP”) is included as an attachment to the press release. The Company believes the presentation of EBITDA, adjusted EBITDA, adjusted EBITDA margin, adjusted operating income, adjusted net income, adjusted net income margin, Adjusted Diluted EPS, book to bill ratio, free cash flow and net leverage ratio are useful to the Company's investors because (i) each of these financial metrics are useful to investors to assess and understand operating performance, especially when comparing those results with previous and subsequent periods or forecasting performance for future periods, primarily because management views the excluded items to be outside of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 of this additional information is not meant to be considered in isolation or as a substitute for the Company's financial results prepared in accordance with GAAP.</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shall not be deemed to be “filed” for purposes of Section 18 of the Exchange Act or otherwise subject to the liabilities of that section, nor shall it be incorporated by reference into a filing under the Securities Act of 1933,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 Exhibits.</w:t>
            </w:r>
          </w:p>
        </w:tc>
        <w:tc>
          <w:tcPr>
            <w:tcW w:w="95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tc>
      </w:tr>
      <w:tr>
        <w:trPr>
          <w:trHeight w:val="183"/>
        </w:trPr>
        <w:tc>
          <w:tcPr>
            <w:tcW w:w="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40" w:type="dxa"/>
            <w:vAlign w:val="bottom"/>
          </w:tcPr>
          <w:p>
            <w:pPr>
              <w:spacing w:after="0"/>
              <w:rPr>
                <w:sz w:val="15"/>
                <w:szCs w:val="15"/>
                <w:color w:val="auto"/>
              </w:rPr>
            </w:pPr>
          </w:p>
        </w:tc>
        <w:tc>
          <w:tcPr>
            <w:tcW w:w="95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dated October 29, 2026.</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39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100"/>
        <w:spacing w:after="0"/>
        <w:tabs>
          <w:tab w:leader="none" w:pos="4100" w:val="left"/>
        </w:tabs>
        <w:rPr>
          <w:sz w:val="20"/>
          <w:szCs w:val="20"/>
          <w:color w:val="auto"/>
        </w:rPr>
      </w:pPr>
      <w:r>
        <w:rPr>
          <w:rFonts w:ascii="Times New Roman" w:cs="Times New Roman" w:eastAsia="Times New Roman" w:hAnsi="Times New Roman"/>
          <w:sz w:val="35"/>
          <w:szCs w:val="35"/>
          <w:color w:val="auto"/>
          <w:vertAlign w:val="superscript"/>
        </w:rPr>
        <w:t>Date: October 29, 2026</w:t>
      </w:r>
      <w:r>
        <w:rPr>
          <w:sz w:val="20"/>
          <w:szCs w:val="20"/>
          <w:color w:val="auto"/>
        </w:rPr>
        <w:tab/>
      </w:r>
      <w:r>
        <w:rPr>
          <w:rFonts w:ascii="Times New Roman" w:cs="Times New Roman" w:eastAsia="Times New Roman" w:hAnsi="Times New Roman"/>
          <w:sz w:val="18"/>
          <w:szCs w:val="18"/>
          <w:b w:val="1"/>
          <w:bCs w:val="1"/>
          <w:color w:val="auto"/>
        </w:rPr>
        <w:t>FORUM ENERGY TECHNOLOGIES, INC.</w:t>
      </w:r>
    </w:p>
    <w:p>
      <w:pPr>
        <w:spacing w:after="0" w:line="15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John C. Ivascu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43180</wp:posOffset>
            </wp:positionV>
            <wp:extent cx="3900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805" cy="825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John C. Ivascu</w:t>
      </w:r>
    </w:p>
    <w:p>
      <w:pPr>
        <w:spacing w:after="0" w:line="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 Officer and</w:t>
      </w:r>
    </w:p>
    <w:p>
      <w:pPr>
        <w:ind w:left="412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200"/>
          </w:cols>
          <w:pgMar w:left="320" w:top="1238"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028700"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Forum Energy Technologies Announces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Third Quarter 2026 Results; Raises Full Year 2026 Guidance</w:t>
      </w:r>
    </w:p>
    <w:p>
      <w:pPr>
        <w:spacing w:after="0" w:line="212" w:lineRule="exact"/>
        <w:rPr>
          <w:sz w:val="20"/>
          <w:szCs w:val="20"/>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Orders: $244 million, book-to-bill ratio of 103%</w:t>
      </w:r>
    </w:p>
    <w:p>
      <w:pPr>
        <w:spacing w:after="0" w:line="161"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Revenue: $237 million, up 5% sequentially</w:t>
      </w:r>
    </w:p>
    <w:p>
      <w:pPr>
        <w:spacing w:after="0" w:line="175"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Net income and earnings per share: $11 million and $0.93, down 9% and 11%</w:t>
      </w:r>
    </w:p>
    <w:p>
      <w:pPr>
        <w:spacing w:after="0" w:line="161"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Adjusted net income and adjusted earnings per share</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$18 million and $1.51, up 33% and 30%</w:t>
      </w:r>
    </w:p>
    <w:p>
      <w:pPr>
        <w:spacing w:after="0" w:line="117"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Adjusted EBITDA: $36 million, up 14%</w:t>
      </w:r>
    </w:p>
    <w:p>
      <w:pPr>
        <w:spacing w:after="0" w:line="175"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Operating cash flow and free cash flow: $32 million and $30 million, up 158% and 214%</w:t>
      </w:r>
    </w:p>
    <w:p>
      <w:pPr>
        <w:spacing w:after="0" w:line="200" w:lineRule="exact"/>
        <w:rPr>
          <w:sz w:val="20"/>
          <w:szCs w:val="20"/>
          <w:color w:val="auto"/>
        </w:rPr>
      </w:pPr>
    </w:p>
    <w:p>
      <w:pPr>
        <w:spacing w:after="0" w:line="234" w:lineRule="exact"/>
        <w:rPr>
          <w:sz w:val="20"/>
          <w:szCs w:val="20"/>
          <w:color w:val="auto"/>
        </w:rPr>
      </w:pPr>
    </w:p>
    <w:p>
      <w:pPr>
        <w:jc w:val="both"/>
        <w:spacing w:after="0" w:line="398" w:lineRule="auto"/>
        <w:rPr>
          <w:sz w:val="20"/>
          <w:szCs w:val="20"/>
          <w:color w:val="auto"/>
        </w:rPr>
      </w:pPr>
      <w:r>
        <w:rPr>
          <w:rFonts w:ascii="Arial" w:cs="Arial" w:eastAsia="Arial" w:hAnsi="Arial"/>
          <w:sz w:val="20"/>
          <w:szCs w:val="20"/>
          <w:color w:val="auto"/>
        </w:rPr>
        <w:t>HOUSTON, TEXAS, October 29, 2026 - Forum Energy Technologies, Inc. (NYSE: FET) today announced third quarter 2026 results and updated fourth quarter and full year 2026 guidance.</w:t>
      </w:r>
    </w:p>
    <w:p>
      <w:pPr>
        <w:spacing w:after="0" w:line="88"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Neal Lux, President and Chief Executive Officer, remarked, “FET delivered another strong quarter, demonstrating the continued effectiveness of our ‘Beat the Market’ strategy. Revenue increased 5% sequentially, adjusted EBITDA increased 14%, and adjusted EBITDA margin expanded to 15%. We generated more than $30 million of free cash flow, reduced net debt, and lowered net leverage to 0.9 times. Also in the third quarter, we acquired Premiere Torque Rings, adding differentiated technology and a trusted brand that expands FET’s addressable market and global growth opportunities. These results reflect broad-based growth, continued market share gains, and disciplined execution.</w:t>
      </w:r>
    </w:p>
    <w:p>
      <w:pPr>
        <w:spacing w:after="0" w:line="11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“With strong demand, improving industry activity, and continued execution of our strategy, we are raising full-year 2026 guidance. We remain well positioned to deliver another strong quarter and carry meaningful momentum into 2027 as we advance toward achieving our FET 2030 objectives.”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2140" w:type="dxa"/>
            <w:vAlign w:val="bottom"/>
          </w:tcPr>
          <w:p>
            <w:pPr>
              <w:spacing w:after="0"/>
              <w:rPr>
                <w:sz w:val="20"/>
                <w:szCs w:val="20"/>
                <w:color w:val="auto"/>
              </w:rPr>
            </w:pPr>
          </w:p>
        </w:tc>
        <w:tc>
          <w:tcPr>
            <w:tcW w:w="4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Fourth Quarter 2026 Guidance</w:t>
            </w:r>
          </w:p>
        </w:tc>
        <w:tc>
          <w:tcPr>
            <w:tcW w:w="100" w:type="dxa"/>
            <w:vAlign w:val="bottom"/>
          </w:tcPr>
          <w:p>
            <w:pPr>
              <w:spacing w:after="0"/>
              <w:rPr>
                <w:sz w:val="20"/>
                <w:szCs w:val="20"/>
                <w:color w:val="auto"/>
              </w:rPr>
            </w:pPr>
          </w:p>
        </w:tc>
        <w:tc>
          <w:tcPr>
            <w:tcW w:w="448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rPr>
              <w:t>Full Year 2026 Guidance</w:t>
            </w:r>
          </w:p>
        </w:tc>
      </w:tr>
      <w:tr>
        <w:trPr>
          <w:trHeight w:val="237"/>
        </w:trPr>
        <w:tc>
          <w:tcPr>
            <w:tcW w:w="21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Range ($ millions)</w:t>
            </w:r>
          </w:p>
        </w:tc>
        <w:tc>
          <w:tcPr>
            <w:tcW w:w="100" w:type="dxa"/>
            <w:vAlign w:val="bottom"/>
          </w:tcPr>
          <w:p>
            <w:pPr>
              <w:spacing w:after="0"/>
              <w:rPr>
                <w:sz w:val="20"/>
                <w:szCs w:val="20"/>
                <w:color w:val="auto"/>
              </w:rPr>
            </w:pPr>
          </w:p>
        </w:tc>
        <w:tc>
          <w:tcPr>
            <w:tcW w:w="21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YoY Change %</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Range ($ millions)</w:t>
            </w:r>
          </w:p>
        </w:tc>
        <w:tc>
          <w:tcPr>
            <w:tcW w:w="80" w:type="dxa"/>
            <w:vAlign w:val="bottom"/>
          </w:tcPr>
          <w:p>
            <w:pPr>
              <w:spacing w:after="0"/>
              <w:rPr>
                <w:sz w:val="20"/>
                <w:szCs w:val="20"/>
                <w:color w:val="auto"/>
              </w:rPr>
            </w:pPr>
          </w:p>
        </w:tc>
        <w:tc>
          <w:tcPr>
            <w:tcW w:w="22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YoY Change %</w:t>
            </w:r>
          </w:p>
        </w:tc>
      </w:tr>
      <w:tr>
        <w:trPr>
          <w:trHeight w:val="240"/>
        </w:trPr>
        <w:tc>
          <w:tcPr>
            <w:tcW w:w="2140" w:type="dxa"/>
            <w:vAlign w:val="bottom"/>
          </w:tcPr>
          <w:p>
            <w:pPr>
              <w:spacing w:after="0"/>
              <w:rPr>
                <w:sz w:val="20"/>
                <w:szCs w:val="20"/>
                <w:color w:val="auto"/>
              </w:rPr>
            </w:pPr>
            <w:r>
              <w:rPr>
                <w:rFonts w:ascii="Arial" w:cs="Arial" w:eastAsia="Arial" w:hAnsi="Arial"/>
                <w:sz w:val="18"/>
                <w:szCs w:val="18"/>
                <w:color w:val="auto"/>
              </w:rPr>
              <w:t>Revenue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$230 to $250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20"/>
                <w:szCs w:val="20"/>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$900 to $920</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Adjusted EBITDA</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$33 to $39</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21"/>
                <w:szCs w:val="21"/>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$123 to $129</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46%</w:t>
            </w: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Adjusted Net Income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$15 to $21</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263%</w:t>
            </w:r>
          </w:p>
        </w:tc>
        <w:tc>
          <w:tcPr>
            <w:tcW w:w="100" w:type="dxa"/>
            <w:vAlign w:val="bottom"/>
          </w:tcPr>
          <w:p>
            <w:pPr>
              <w:spacing w:after="0"/>
              <w:rPr>
                <w:sz w:val="21"/>
                <w:szCs w:val="21"/>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$52 to $58</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639%</w:t>
            </w:r>
          </w:p>
        </w:tc>
      </w:tr>
      <w:tr>
        <w:trPr>
          <w:trHeight w:val="312"/>
        </w:trPr>
        <w:tc>
          <w:tcPr>
            <w:tcW w:w="214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$25 to $30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$66 to $71</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2"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See Tables 1-9 for a reconciliation of GAAP to non-GAAP financial information, including a breakdown of adjusting items.</w:t>
      </w:r>
    </w:p>
    <w:p>
      <w:pPr>
        <w:ind w:left="120" w:hanging="112"/>
        <w:spacing w:after="0" w:line="204" w:lineRule="auto"/>
        <w:tabs>
          <w:tab w:leader="none" w:pos="12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For comparative purposes, free cash flow for the full year 2025 excludes approximately $15 million of proceeds from sale-leaseback transactions.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89" w:lineRule="exact"/>
        <w:rPr>
          <w:rFonts w:ascii="Arial" w:cs="Arial" w:eastAsia="Arial" w:hAnsi="Arial"/>
          <w:sz w:val="23"/>
          <w:szCs w:val="23"/>
          <w:color w:val="auto"/>
          <w:vertAlign w:val="superscript"/>
        </w:rPr>
      </w:pPr>
    </w:p>
    <w:p>
      <w:pPr>
        <w:ind w:left="5580"/>
        <w:spacing w:after="0"/>
        <w:rPr>
          <w:rFonts w:ascii="Arial" w:cs="Arial" w:eastAsia="Arial" w:hAnsi="Arial"/>
          <w:sz w:val="23"/>
          <w:szCs w:val="23"/>
          <w:color w:val="auto"/>
          <w:vertAlign w:val="superscript"/>
        </w:rPr>
      </w:pPr>
      <w:r>
        <w:rPr>
          <w:rFonts w:ascii="Arial" w:cs="Arial" w:eastAsia="Arial" w:hAnsi="Arial"/>
          <w:sz w:val="14"/>
          <w:szCs w:val="14"/>
          <w:color w:val="auto"/>
        </w:rPr>
        <w:t>1</w:t>
      </w:r>
    </w:p>
    <w:p>
      <w:pPr>
        <w:sectPr>
          <w:pgSz w:w="11900" w:h="16838" w:orient="portrait"/>
          <w:cols w:equalWidth="0" w:num="1">
            <w:col w:w="11240"/>
          </w:cols>
          <w:pgMar w:left="320" w:top="59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Segment Results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(unless otherwise noted, comparisons are third quarter 2026 versus second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2026</w:t>
      </w:r>
      <w:r>
        <w:rPr>
          <w:rFonts w:ascii="Arial" w:cs="Arial" w:eastAsia="Arial" w:hAnsi="Arial"/>
          <w:sz w:val="20"/>
          <w:szCs w:val="20"/>
          <w:i w:val="1"/>
          <w:iCs w:val="1"/>
          <w:color w:val="auto"/>
        </w:rPr>
        <w:t>)</w:t>
      </w:r>
    </w:p>
    <w:p>
      <w:pPr>
        <w:spacing w:after="0" w:line="285"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Drilling and Completions segment revenue was $147 million, a 6% increase attributable to growth across all product lines. Adjusted EBITDA of $21 million increased 28%, benefiting from operating leverage and cost management. Book-to-bill was 97% as we delivered on projects for Drilling and Subsea. Drilling and Completions provides consumable products and capital equipment for drilling, subsea, coiled tubing, wireline, and stimulation markets.</w:t>
      </w:r>
    </w:p>
    <w:p>
      <w:pPr>
        <w:spacing w:after="0" w:line="13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Artificial Lift and Downhole segment revenue was $90 million, a 3% increase, due to the addition of Premiere Torque Rings and higher demand for sand and flow control solutions and valve products. Adjusted EBITDA of $21 million was comparable with the prior quarter, with contributions from revenue growth offset by higher freight and tariff costs. Book-to-bill was 113% with strong processing equipment and technology orders. Artificial Lift and Downhole engineers, manufactures, and supplies products for well construction, artificial lift, and oil and natural gas processing.</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Conference Call</w:t>
      </w:r>
    </w:p>
    <w:p>
      <w:pPr>
        <w:spacing w:after="0" w:line="285" w:lineRule="exact"/>
        <w:rPr>
          <w:sz w:val="20"/>
          <w:szCs w:val="20"/>
          <w:color w:val="auto"/>
        </w:rPr>
      </w:pPr>
    </w:p>
    <w:p>
      <w:pPr>
        <w:jc w:val="both"/>
        <w:spacing w:after="0" w:line="384" w:lineRule="auto"/>
        <w:rPr>
          <w:sz w:val="20"/>
          <w:szCs w:val="20"/>
          <w:color w:val="auto"/>
        </w:rPr>
      </w:pPr>
      <w:r>
        <w:rPr>
          <w:rFonts w:ascii="Arial" w:cs="Arial" w:eastAsia="Arial" w:hAnsi="Arial"/>
          <w:sz w:val="20"/>
          <w:szCs w:val="20"/>
          <w:color w:val="auto"/>
        </w:rPr>
        <w:t>FET will host its third quarter 2026 earnings conference call at 10:00 a.m. Central Time on Friday, October 30, 2026. The call will be webcast through the Investor Relations link on FET’s website at https://ir.f-e-t.com.</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Participants may also join the call by registering at: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https://register-conf.media-server.com/register/BI91d32a70eef240b19768b771c8285321</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 replay of the call will be available on the Investor Relations website after the completion of the call at approximately 5:00 p.m.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Central Time.</w:t>
      </w:r>
    </w:p>
    <w:p>
      <w:pPr>
        <w:spacing w:after="0" w:line="283" w:lineRule="exact"/>
        <w:rPr>
          <w:sz w:val="20"/>
          <w:szCs w:val="20"/>
          <w:color w:val="auto"/>
        </w:rPr>
      </w:pPr>
    </w:p>
    <w:p>
      <w:pPr>
        <w:jc w:val="both"/>
        <w:spacing w:after="0" w:line="375" w:lineRule="auto"/>
        <w:rPr>
          <w:sz w:val="20"/>
          <w:szCs w:val="20"/>
          <w:color w:val="auto"/>
        </w:rPr>
      </w:pPr>
      <w:r>
        <w:rPr>
          <w:rFonts w:ascii="Arial" w:cs="Arial" w:eastAsia="Arial" w:hAnsi="Arial"/>
          <w:sz w:val="20"/>
          <w:szCs w:val="20"/>
          <w:i w:val="1"/>
          <w:iCs w:val="1"/>
          <w:color w:val="auto"/>
        </w:rPr>
        <w:t xml:space="preserve">FET is a global manufacturing company, serving the oil, natural gas, defense, and renewable energy industries. With headquarters located in Houston, Texas, FET provides value added solutions aimed at improving the safety, efficiency, and environmental impact of our customers' operations. For more information, please visit </w:t>
      </w:r>
      <w:r>
        <w:rPr>
          <w:rFonts w:ascii="Arial" w:cs="Arial" w:eastAsia="Arial" w:hAnsi="Arial"/>
          <w:sz w:val="20"/>
          <w:szCs w:val="20"/>
          <w:i w:val="1"/>
          <w:iCs w:val="1"/>
          <w:u w:val="single" w:color="auto"/>
          <w:color w:val="0000FF"/>
        </w:rPr>
        <w:t>www.f-e-t.com</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5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Non-GAAP Financial Measures</w:t>
      </w:r>
    </w:p>
    <w:p>
      <w:pPr>
        <w:spacing w:after="0" w:line="231"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 Company presents its financial results in accordance with GAAP. However, management believes that non-GAAP measures are useful tools for evaluating the Company's overall financial performance. Not all companies define these measures in the same way. In addition, these non-GAAP financial measures are not a substitute for those prepared in accordance with GAAP and should, therefore, be considered only as a supplement. Please see the attached schedules for reconciliations between GAAP and the non-GAAP financial measures used in this press release. The company is unable to provide a reconciliation of forward-looking adjusted net income and adjusted EBITDA to GAAP net income because items that impact GAAP net income, such as restructuring charges, transaction expenses, and foreign exchange losses (gains), cannot be reasonably predicted.</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 and Other Legal Disclosure</w:t>
      </w:r>
    </w:p>
    <w:p>
      <w:pPr>
        <w:spacing w:after="0" w:line="218"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and Section 21E of the Securities Exchange Act of 1934. All statements, other than statements of historical facts, included in this press release that address activities, events or developments that the Company expects, believes or anticipates will or may occur in the future are forward-looking statements. Without limiting the generality of the foregoing, forward-looking statements contained in this press release specifically include the benefits of the Premiere Torque Ring acquisition and expectations of plans, strategies, objectives and anticipated financial and operating results of the Company, including any statement about the Company's outlook, future financial position, liquidity and capital resources, operations, performance, cash flow, acquisitions, returns, capital expenditure budgets, new product development activities, strategic investments, share repurchases, costs and other guidance included in this press release.</w:t>
      </w:r>
    </w:p>
    <w:p>
      <w:pPr>
        <w:spacing w:after="0" w:line="82"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These statements are based on certain assumptions made by the Company based on management's experience and perception of historical trends, current conditions, anticipated future developments and other factors believed to be appropriate. Such statements are subject to a number of assumptions, risks and uncertainties, many of which are beyond the control of the Company, which may cause actual results to differ materially from those implied or expressed by the forward-looking statements. Among other things, these include the volatility of oil and natural gas prices, oilfield development activity levels, the availability of raw materials and specialized equipment, the Company's ability to deliver backlog in a timely fashion, the availability of skilled and qualified labor, competition in the oil and natural gas industry, governmental regulation and taxation of the oil and natural gas industry, the Company's ability to implement new technologies and services, the availability and terms of capital, and uncertainties regarding environmental regulations or litigation and other legal or regulatory developments affecting the Company's business, and other important factors that could cause actual results to differ materially from those projected as described in the Company's filings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50" w:right="339" w:bottom="1440" w:gutter="0" w:footer="0" w:header="0"/>
        </w:sectPr>
      </w:pPr>
    </w:p>
    <w:bookmarkStart w:id="6" w:name="page7"/>
    <w:bookmarkEnd w:id="6"/>
    <w:p>
      <w:pPr>
        <w:jc w:val="both"/>
        <w:spacing w:after="0" w:line="375" w:lineRule="auto"/>
        <w:rPr>
          <w:sz w:val="20"/>
          <w:szCs w:val="20"/>
          <w:color w:val="auto"/>
        </w:rPr>
      </w:pPr>
      <w:r>
        <w:rPr>
          <w:rFonts w:ascii="Arial" w:cs="Arial" w:eastAsia="Arial" w:hAnsi="Arial"/>
          <w:sz w:val="20"/>
          <w:szCs w:val="20"/>
          <w:color w:val="auto"/>
        </w:rPr>
        <w:t>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Contact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Rob Kukla</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Investor Relations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281.994.3763</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rob.kukla@f-e-t.com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52"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income (loss)</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6"/>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information)</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0" w:type="dxa"/>
            <w:vAlign w:val="bottom"/>
          </w:tcPr>
          <w:p>
            <w:pPr>
              <w:spacing w:after="0"/>
              <w:rPr>
                <w:sz w:val="1"/>
                <w:szCs w:val="1"/>
                <w:color w:val="auto"/>
              </w:rPr>
            </w:pPr>
          </w:p>
        </w:tc>
      </w:tr>
      <w:tr>
        <w:trPr>
          <w:trHeight w:val="241"/>
        </w:trPr>
        <w:tc>
          <w:tcPr>
            <w:tcW w:w="580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236,813</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196,231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226,217</w:t>
            </w: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162,400</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154,865</w:t>
            </w:r>
          </w:p>
        </w:tc>
        <w:tc>
          <w:tcPr>
            <w:tcW w:w="0" w:type="dxa"/>
            <w:vAlign w:val="bottom"/>
          </w:tcPr>
          <w:p>
            <w:pPr>
              <w:spacing w:after="0"/>
              <w:rPr>
                <w:sz w:val="1"/>
                <w:szCs w:val="1"/>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74,413</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71,352</w:t>
            </w:r>
          </w:p>
        </w:tc>
        <w:tc>
          <w:tcPr>
            <w:tcW w:w="0" w:type="dxa"/>
            <w:vAlign w:val="bottom"/>
          </w:tcPr>
          <w:p>
            <w:pPr>
              <w:spacing w:after="0"/>
              <w:rPr>
                <w:sz w:val="1"/>
                <w:szCs w:val="1"/>
                <w:color w:val="auto"/>
              </w:rPr>
            </w:pPr>
          </w:p>
        </w:tc>
      </w:tr>
      <w:tr>
        <w:trPr>
          <w:trHeight w:val="231"/>
        </w:trPr>
        <w:tc>
          <w:tcPr>
            <w:tcW w:w="58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53,279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50,260</w:t>
            </w: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Transaction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r>
              <w:rPr>
                <w:rFonts w:ascii="Arial" w:cs="Arial" w:eastAsia="Arial" w:hAnsi="Arial"/>
                <w:sz w:val="18"/>
                <w:szCs w:val="18"/>
                <w:color w:val="auto"/>
              </w:rPr>
              <w:t>Loss (gain) on disposal of assets and other</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54,452</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50,845</w:t>
            </w:r>
          </w:p>
        </w:tc>
        <w:tc>
          <w:tcPr>
            <w:tcW w:w="0" w:type="dxa"/>
            <w:vAlign w:val="bottom"/>
          </w:tcPr>
          <w:p>
            <w:pPr>
              <w:spacing w:after="0"/>
              <w:rPr>
                <w:sz w:val="1"/>
                <w:szCs w:val="1"/>
                <w:color w:val="auto"/>
              </w:rPr>
            </w:pPr>
          </w:p>
        </w:tc>
      </w:tr>
      <w:tr>
        <w:trPr>
          <w:trHeight w:val="241"/>
        </w:trPr>
        <w:tc>
          <w:tcPr>
            <w:tcW w:w="5800" w:type="dxa"/>
            <w:vAlign w:val="bottom"/>
          </w:tcPr>
          <w:p>
            <w:pPr>
              <w:ind w:left="20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19,961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20,507</w:t>
            </w:r>
          </w:p>
        </w:tc>
        <w:tc>
          <w:tcPr>
            <w:tcW w:w="0" w:type="dxa"/>
            <w:vAlign w:val="bottom"/>
          </w:tcPr>
          <w:p>
            <w:pPr>
              <w:spacing w:after="0"/>
              <w:rPr>
                <w:sz w:val="1"/>
                <w:szCs w:val="1"/>
                <w:color w:val="auto"/>
              </w:rPr>
            </w:pPr>
          </w:p>
        </w:tc>
      </w:tr>
      <w:tr>
        <w:trPr>
          <w:trHeight w:val="247"/>
        </w:trPr>
        <w:tc>
          <w:tcPr>
            <w:tcW w:w="580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r>
              <w:rPr>
                <w:rFonts w:ascii="Arial" w:cs="Arial" w:eastAsia="Arial" w:hAnsi="Arial"/>
                <w:sz w:val="18"/>
                <w:szCs w:val="18"/>
                <w:color w:val="auto"/>
              </w:rPr>
              <w:t>Foreign exchange losses and other, net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color w:val="auto"/>
              </w:rPr>
              <w:t>Total other expense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41"/>
        </w:trPr>
        <w:tc>
          <w:tcPr>
            <w:tcW w:w="5800" w:type="dxa"/>
            <w:vAlign w:val="bottom"/>
          </w:tcPr>
          <w:p>
            <w:pPr>
              <w:ind w:left="20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11,230</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(20,554)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12,407</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5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800" w:type="dxa"/>
            <w:vAlign w:val="bottom"/>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517"/>
        </w:trPr>
        <w:tc>
          <w:tcPr>
            <w:tcW w:w="580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800" w:type="dxa"/>
            <w:vAlign w:val="bottom"/>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0.98</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0.93</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60"/>
          </w:cols>
          <w:pgMar w:left="580" w:top="939" w:right="55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Condensed consolidated statements of income (loss)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7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information)</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41"/>
        </w:trPr>
        <w:tc>
          <w:tcPr>
            <w:tcW w:w="7560" w:type="dxa"/>
            <w:vAlign w:val="bottom"/>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671,730</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589,274</w:t>
            </w: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464,974</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431,320</w:t>
            </w:r>
          </w:p>
        </w:tc>
        <w:tc>
          <w:tcPr>
            <w:tcW w:w="0" w:type="dxa"/>
            <w:vAlign w:val="bottom"/>
          </w:tcPr>
          <w:p>
            <w:pPr>
              <w:spacing w:after="0"/>
              <w:rPr>
                <w:sz w:val="1"/>
                <w:szCs w:val="1"/>
                <w:color w:val="auto"/>
              </w:rPr>
            </w:pPr>
          </w:p>
        </w:tc>
      </w:tr>
      <w:tr>
        <w:trPr>
          <w:trHeight w:val="236"/>
        </w:trPr>
        <w:tc>
          <w:tcPr>
            <w:tcW w:w="75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206,756</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157,954</w:t>
            </w:r>
          </w:p>
        </w:tc>
        <w:tc>
          <w:tcPr>
            <w:tcW w:w="0" w:type="dxa"/>
            <w:vAlign w:val="bottom"/>
          </w:tcPr>
          <w:p>
            <w:pPr>
              <w:spacing w:after="0"/>
              <w:rPr>
                <w:sz w:val="1"/>
                <w:szCs w:val="1"/>
                <w:color w:val="auto"/>
              </w:rPr>
            </w:pPr>
          </w:p>
        </w:tc>
      </w:tr>
      <w:tr>
        <w:trPr>
          <w:trHeight w:val="231"/>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153,547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151,017</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Loss (gain) on disposal of assets and other</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237"/>
        </w:trPr>
        <w:tc>
          <w:tcPr>
            <w:tcW w:w="75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155,283</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140,573</w:t>
            </w:r>
          </w:p>
        </w:tc>
        <w:tc>
          <w:tcPr>
            <w:tcW w:w="0" w:type="dxa"/>
            <w:vAlign w:val="bottom"/>
          </w:tcPr>
          <w:p>
            <w:pPr>
              <w:spacing w:after="0"/>
              <w:rPr>
                <w:sz w:val="1"/>
                <w:szCs w:val="1"/>
                <w:color w:val="auto"/>
              </w:rPr>
            </w:pPr>
          </w:p>
        </w:tc>
      </w:tr>
      <w:tr>
        <w:trPr>
          <w:trHeight w:val="241"/>
        </w:trPr>
        <w:tc>
          <w:tcPr>
            <w:tcW w:w="7560" w:type="dxa"/>
            <w:vAlign w:val="bottom"/>
          </w:tcPr>
          <w:p>
            <w:pPr>
              <w:ind w:left="2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51,473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17,381</w:t>
            </w:r>
          </w:p>
        </w:tc>
        <w:tc>
          <w:tcPr>
            <w:tcW w:w="0" w:type="dxa"/>
            <w:vAlign w:val="bottom"/>
          </w:tcPr>
          <w:p>
            <w:pPr>
              <w:spacing w:after="0"/>
              <w:rPr>
                <w:sz w:val="1"/>
                <w:szCs w:val="1"/>
                <w:color w:val="auto"/>
              </w:rPr>
            </w:pP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12,457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14,054</w:t>
            </w: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Foreign exchange losses (gains) and other, net</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37"/>
        </w:trPr>
        <w:tc>
          <w:tcPr>
            <w:tcW w:w="7560" w:type="dxa"/>
            <w:vAlign w:val="bottom"/>
          </w:tcPr>
          <w:p>
            <w:pPr>
              <w:ind w:left="240"/>
              <w:spacing w:after="0"/>
              <w:rPr>
                <w:sz w:val="20"/>
                <w:szCs w:val="20"/>
                <w:color w:val="auto"/>
              </w:rPr>
            </w:pPr>
            <w:r>
              <w:rPr>
                <w:rFonts w:ascii="Arial" w:cs="Arial" w:eastAsia="Arial" w:hAnsi="Arial"/>
                <w:sz w:val="18"/>
                <w:szCs w:val="18"/>
                <w:color w:val="auto"/>
              </w:rPr>
              <w:t>Total other expense</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12,893</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41"/>
        </w:trPr>
        <w:tc>
          <w:tcPr>
            <w:tcW w:w="7560" w:type="dxa"/>
            <w:vAlign w:val="bottom"/>
          </w:tcPr>
          <w:p>
            <w:pPr>
              <w:ind w:left="24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38,580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237"/>
        </w:trPr>
        <w:tc>
          <w:tcPr>
            <w:tcW w:w="7560" w:type="dxa"/>
            <w:vAlign w:val="bottom"/>
          </w:tcPr>
          <w:p>
            <w:pPr>
              <w:ind w:left="24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28,129</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7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11,321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43"/>
        </w:trPr>
        <w:tc>
          <w:tcPr>
            <w:tcW w:w="75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11,827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517"/>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43"/>
        </w:trPr>
        <w:tc>
          <w:tcPr>
            <w:tcW w:w="75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00"/>
          </w:cols>
          <w:pgMar w:left="440" w:top="939" w:right="45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35,169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34,661</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Accounts receivable—trade,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178,278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142,396</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239,420</w:t>
            </w: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32,407</w:t>
            </w:r>
          </w:p>
        </w:tc>
        <w:tc>
          <w:tcPr>
            <w:tcW w:w="0" w:type="dxa"/>
            <w:vAlign w:val="bottom"/>
          </w:tcPr>
          <w:p>
            <w:pPr>
              <w:spacing w:after="0"/>
              <w:rPr>
                <w:sz w:val="1"/>
                <w:szCs w:val="1"/>
                <w:color w:val="auto"/>
              </w:rPr>
            </w:pPr>
          </w:p>
        </w:tc>
      </w:tr>
      <w:tr>
        <w:trPr>
          <w:trHeight w:val="241"/>
        </w:trPr>
        <w:tc>
          <w:tcPr>
            <w:tcW w:w="75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498,530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448,884</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51,905</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79,689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80,733</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170,096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158,304</w:t>
            </w: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w:t>
            </w:r>
          </w:p>
        </w:tc>
        <w:tc>
          <w:tcPr>
            <w:tcW w:w="0" w:type="dxa"/>
            <w:vAlign w:val="bottom"/>
          </w:tcPr>
          <w:p>
            <w:pPr>
              <w:spacing w:after="0"/>
              <w:rPr>
                <w:sz w:val="1"/>
                <w:szCs w:val="1"/>
                <w:color w:val="auto"/>
              </w:rPr>
            </w:pPr>
          </w:p>
        </w:tc>
      </w:tr>
      <w:tr>
        <w:trPr>
          <w:trHeight w:val="237"/>
        </w:trPr>
        <w:tc>
          <w:tcPr>
            <w:tcW w:w="758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808,020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752,455</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242,943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205,127</w:t>
            </w:r>
          </w:p>
        </w:tc>
        <w:tc>
          <w:tcPr>
            <w:tcW w:w="0" w:type="dxa"/>
            <w:vAlign w:val="bottom"/>
          </w:tcPr>
          <w:p>
            <w:pPr>
              <w:spacing w:after="0"/>
              <w:rPr>
                <w:sz w:val="1"/>
                <w:szCs w:val="1"/>
                <w:color w:val="auto"/>
              </w:rPr>
            </w:pPr>
          </w:p>
        </w:tc>
      </w:tr>
      <w:tr>
        <w:trPr>
          <w:trHeight w:val="240"/>
        </w:trPr>
        <w:tc>
          <w:tcPr>
            <w:tcW w:w="758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244,068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206,534</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134,521</w:t>
            </w: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120,257</w:t>
            </w:r>
          </w:p>
        </w:tc>
        <w:tc>
          <w:tcPr>
            <w:tcW w:w="0" w:type="dxa"/>
            <w:vAlign w:val="bottom"/>
          </w:tcPr>
          <w:p>
            <w:pPr>
              <w:spacing w:after="0"/>
              <w:rPr>
                <w:sz w:val="1"/>
                <w:szCs w:val="1"/>
                <w:color w:val="auto"/>
              </w:rPr>
            </w:pPr>
          </w:p>
        </w:tc>
      </w:tr>
      <w:tr>
        <w:trPr>
          <w:trHeight w:val="237"/>
        </w:trPr>
        <w:tc>
          <w:tcPr>
            <w:tcW w:w="758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489,833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461,312</w:t>
            </w:r>
          </w:p>
        </w:tc>
        <w:tc>
          <w:tcPr>
            <w:tcW w:w="0" w:type="dxa"/>
            <w:vAlign w:val="bottom"/>
          </w:tcPr>
          <w:p>
            <w:pPr>
              <w:spacing w:after="0"/>
              <w:rPr>
                <w:sz w:val="1"/>
                <w:szCs w:val="1"/>
                <w:color w:val="auto"/>
              </w:rPr>
            </w:pPr>
          </w:p>
        </w:tc>
      </w:tr>
      <w:tr>
        <w:trPr>
          <w:trHeight w:val="236"/>
        </w:trPr>
        <w:tc>
          <w:tcPr>
            <w:tcW w:w="758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318,187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291,143</w:t>
            </w:r>
          </w:p>
        </w:tc>
        <w:tc>
          <w:tcPr>
            <w:tcW w:w="0" w:type="dxa"/>
            <w:vAlign w:val="bottom"/>
          </w:tcPr>
          <w:p>
            <w:pPr>
              <w:spacing w:after="0"/>
              <w:rPr>
                <w:sz w:val="1"/>
                <w:szCs w:val="1"/>
                <w:color w:val="auto"/>
              </w:rPr>
            </w:pPr>
          </w:p>
        </w:tc>
      </w:tr>
      <w:tr>
        <w:trPr>
          <w:trHeight w:val="237"/>
        </w:trPr>
        <w:tc>
          <w:tcPr>
            <w:tcW w:w="7580" w:type="dxa"/>
            <w:vAlign w:val="bottom"/>
          </w:tcPr>
          <w:p>
            <w:pPr>
              <w:ind w:left="2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808,020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752,455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60"/>
          </w:cols>
          <w:pgMar w:left="460" w:top="939" w:right="4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cash flow information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 September 30,</w:t>
            </w:r>
          </w:p>
        </w:tc>
      </w:tr>
      <w:tr>
        <w:trPr>
          <w:trHeight w:val="236"/>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45"/>
        </w:trPr>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28,129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(11,732)</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25,914</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Inventory write-down</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17,407</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Gain on sale-leaseback transactions</w:t>
            </w:r>
          </w:p>
        </w:tc>
        <w:tc>
          <w:tcPr>
            <w:tcW w:w="16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(11,182)</w:t>
            </w: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Other noncash items and changes in working capital</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27,558</w:t>
            </w:r>
          </w:p>
        </w:tc>
      </w:tr>
      <w:tr>
        <w:trPr>
          <w:trHeight w:val="248"/>
        </w:trPr>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46,087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47,965</w:t>
            </w:r>
          </w:p>
        </w:tc>
      </w:tr>
      <w:tr>
        <w:trPr>
          <w:trHeight w:val="509"/>
        </w:trPr>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Capital expenditures for property and equipment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(4,453)</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Proceeds from sale-leaseback transactions</w:t>
            </w:r>
          </w:p>
        </w:tc>
        <w:tc>
          <w:tcPr>
            <w:tcW w:w="16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14,574</w:t>
            </w: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Payments related to business acquisition, net of cash acquired</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10,284</w:t>
            </w:r>
          </w:p>
        </w:tc>
      </w:tr>
      <w:tr>
        <w:trPr>
          <w:trHeight w:val="509"/>
        </w:trPr>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Borrowings of debt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420,296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398,746</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(428,867)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(447,766)</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Repurchases of stock</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(21,120)</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Payment of withheld taxes on stock-based compensation plans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r>
      <w:tr>
        <w:trPr>
          <w:trHeight w:val="248"/>
        </w:trPr>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(72,375)</w:t>
            </w:r>
          </w:p>
        </w:tc>
      </w:tr>
      <w:tr>
        <w:trPr>
          <w:trHeight w:val="501"/>
        </w:trPr>
        <w:tc>
          <w:tcPr>
            <w:tcW w:w="7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20"/>
          </w:cols>
          <w:pgMar w:left="440" w:top="939" w:right="4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Supplemental schedule - Segment information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9"/>
              </w:rPr>
              <w:t>As Reported</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 xml:space="preserve">As Adjusted </w:t>
            </w:r>
            <w:r>
              <w:rPr>
                <w:rFonts w:ascii="Arial" w:cs="Arial" w:eastAsia="Arial" w:hAnsi="Arial"/>
                <w:sz w:val="23"/>
                <w:szCs w:val="23"/>
                <w:b w:val="1"/>
                <w:bCs w:val="1"/>
                <w:color w:val="auto"/>
                <w:vertAlign w:val="superscript"/>
              </w:rPr>
              <w:t>(3)</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99"/>
              </w:rPr>
              <w:t>Three months ended</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6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of dollars)</w:t>
            </w:r>
          </w:p>
        </w:tc>
        <w:tc>
          <w:tcPr>
            <w:tcW w:w="138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September 30,</w:t>
            </w:r>
          </w:p>
        </w:tc>
        <w:tc>
          <w:tcPr>
            <w:tcW w:w="138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September 30,</w:t>
            </w:r>
          </w:p>
        </w:tc>
        <w:tc>
          <w:tcPr>
            <w:tcW w:w="1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June 30, 2026</w:t>
            </w:r>
          </w:p>
        </w:tc>
        <w:tc>
          <w:tcPr>
            <w:tcW w:w="138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September 30,</w:t>
            </w:r>
          </w:p>
        </w:tc>
        <w:tc>
          <w:tcPr>
            <w:tcW w:w="138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September 30,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June 30, 2026</w:t>
            </w:r>
          </w:p>
        </w:tc>
        <w:tc>
          <w:tcPr>
            <w:tcW w:w="0" w:type="dxa"/>
            <w:vAlign w:val="bottom"/>
          </w:tcPr>
          <w:p>
            <w:pPr>
              <w:spacing w:after="0"/>
              <w:rPr>
                <w:sz w:val="1"/>
                <w:szCs w:val="1"/>
                <w:color w:val="auto"/>
              </w:rPr>
            </w:pPr>
          </w:p>
        </w:tc>
      </w:tr>
      <w:tr>
        <w:trPr>
          <w:trHeight w:val="243"/>
        </w:trPr>
        <w:tc>
          <w:tcPr>
            <w:tcW w:w="26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147,155</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117,469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139,004</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147,155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117,469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139,004</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26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89,890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78,981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87,422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89,890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78,981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87,422</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236,813</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196,231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226,217</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236,813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196,231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226,217</w:t>
            </w:r>
          </w:p>
        </w:tc>
        <w:tc>
          <w:tcPr>
            <w:tcW w:w="0" w:type="dxa"/>
            <w:vAlign w:val="bottom"/>
          </w:tcPr>
          <w:p>
            <w:pPr>
              <w:spacing w:after="0"/>
              <w:rPr>
                <w:sz w:val="1"/>
                <w:szCs w:val="1"/>
                <w:color w:val="auto"/>
              </w:rPr>
            </w:pPr>
          </w:p>
        </w:tc>
      </w:tr>
      <w:tr>
        <w:trPr>
          <w:trHeight w:val="21"/>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14,255</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13,715</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18,643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14,328</w:t>
            </w:r>
          </w:p>
        </w:tc>
        <w:tc>
          <w:tcPr>
            <w:tcW w:w="0" w:type="dxa"/>
            <w:vAlign w:val="bottom"/>
          </w:tcPr>
          <w:p>
            <w:pPr>
              <w:spacing w:after="0"/>
              <w:rPr>
                <w:sz w:val="1"/>
                <w:szCs w:val="1"/>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9.7 %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9.9 %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12.7 %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7.4 %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10.3 %</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26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16,089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16,350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16,124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11,830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16,449</w:t>
            </w:r>
          </w:p>
        </w:tc>
        <w:tc>
          <w:tcPr>
            <w:tcW w:w="0" w:type="dxa"/>
            <w:vAlign w:val="bottom"/>
          </w:tcPr>
          <w:p>
            <w:pPr>
              <w:spacing w:after="0"/>
              <w:rPr>
                <w:sz w:val="1"/>
                <w:szCs w:val="1"/>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17.9 %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18.7 %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17.9 %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15.0 %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18.8 %</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(8,671)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(8,299)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(9,246)</w:t>
            </w:r>
          </w:p>
        </w:tc>
        <w:tc>
          <w:tcPr>
            <w:tcW w:w="0" w:type="dxa"/>
            <w:vAlign w:val="bottom"/>
          </w:tcPr>
          <w:p>
            <w:pPr>
              <w:spacing w:after="0"/>
              <w:rPr>
                <w:sz w:val="1"/>
                <w:szCs w:val="1"/>
                <w:color w:val="auto"/>
              </w:rPr>
            </w:pPr>
          </w:p>
        </w:tc>
      </w:tr>
      <w:tr>
        <w:trPr>
          <w:trHeight w:val="169"/>
        </w:trPr>
        <w:tc>
          <w:tcPr>
            <w:tcW w:w="2620" w:type="dxa"/>
            <w:vAlign w:val="bottom"/>
          </w:tcPr>
          <w:p>
            <w:pPr>
              <w:spacing w:after="0" w:line="169" w:lineRule="exact"/>
              <w:rPr>
                <w:sz w:val="20"/>
                <w:szCs w:val="20"/>
                <w:color w:val="auto"/>
              </w:rPr>
            </w:pPr>
            <w:r>
              <w:rPr>
                <w:rFonts w:ascii="Arial" w:cs="Arial" w:eastAsia="Arial" w:hAnsi="Arial"/>
                <w:sz w:val="18"/>
                <w:szCs w:val="18"/>
                <w:b w:val="1"/>
                <w:bCs w:val="1"/>
                <w:color w:val="auto"/>
              </w:rPr>
              <w:t>Total segment operating</w:t>
            </w:r>
          </w:p>
        </w:tc>
        <w:tc>
          <w:tcPr>
            <w:tcW w:w="260" w:type="dxa"/>
            <w:vAlign w:val="bottom"/>
          </w:tcPr>
          <w:p>
            <w:pPr>
              <w:spacing w:after="0"/>
              <w:rPr>
                <w:sz w:val="14"/>
                <w:szCs w:val="14"/>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color w:val="auto"/>
              </w:rPr>
              <w:t>21,134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color w:val="auto"/>
              </w:rPr>
              <w:t>26,096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color w:val="auto"/>
              </w:rPr>
              <w:t>12,189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color w:val="auto"/>
              </w:rPr>
              <w:t>21,531</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Arial" w:cs="Arial" w:eastAsia="Arial" w:hAnsi="Arial"/>
                <w:sz w:val="18"/>
                <w:szCs w:val="18"/>
                <w:b w:val="1"/>
                <w:bCs w:val="1"/>
                <w:color w:val="auto"/>
              </w:rPr>
              <w:t>income (loss)</w:t>
            </w:r>
          </w:p>
        </w:tc>
        <w:tc>
          <w:tcPr>
            <w:tcW w:w="2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620" w:type="dxa"/>
            <w:vAlign w:val="bottom"/>
          </w:tcPr>
          <w:p>
            <w:pPr>
              <w:spacing w:after="0" w:line="185" w:lineRule="exact"/>
              <w:rPr>
                <w:sz w:val="20"/>
                <w:szCs w:val="20"/>
                <w:color w:val="auto"/>
              </w:rPr>
            </w:pPr>
            <w:r>
              <w:rPr>
                <w:rFonts w:ascii="Arial" w:cs="Arial" w:eastAsia="Arial" w:hAnsi="Arial"/>
                <w:sz w:val="18"/>
                <w:szCs w:val="18"/>
                <w:color w:val="auto"/>
              </w:rPr>
              <w:t>Other items not in segment</w:t>
            </w:r>
          </w:p>
        </w:tc>
        <w:tc>
          <w:tcPr>
            <w:tcW w:w="260" w:type="dxa"/>
            <w:vAlign w:val="bottom"/>
          </w:tcPr>
          <w:p>
            <w:pPr>
              <w:spacing w:after="0"/>
              <w:rPr>
                <w:sz w:val="16"/>
                <w:szCs w:val="16"/>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2620" w:type="dxa"/>
            <w:vAlign w:val="bottom"/>
          </w:tcPr>
          <w:p>
            <w:pPr>
              <w:spacing w:after="0" w:line="243"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operating income (loss)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19,961</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20,507</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26,114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12,270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21,108</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2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8.4 %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9.1 %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11.0 %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6.3 %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9.3 %</w:t>
            </w:r>
          </w:p>
        </w:tc>
        <w:tc>
          <w:tcPr>
            <w:tcW w:w="0" w:type="dxa"/>
            <w:vAlign w:val="bottom"/>
          </w:tcPr>
          <w:p>
            <w:pPr>
              <w:spacing w:after="0"/>
              <w:rPr>
                <w:sz w:val="1"/>
                <w:szCs w:val="1"/>
                <w:color w:val="auto"/>
              </w:rPr>
            </w:pPr>
          </w:p>
        </w:tc>
      </w:tr>
      <w:tr>
        <w:trPr>
          <w:trHeight w:val="517"/>
        </w:trPr>
        <w:tc>
          <w:tcPr>
            <w:tcW w:w="2620" w:type="dxa"/>
            <w:vAlign w:val="bottom"/>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3"/>
                <w:szCs w:val="23"/>
                <w:b w:val="1"/>
                <w:bCs w:val="1"/>
                <w:color w:val="auto"/>
                <w:vertAlign w:val="superscript"/>
              </w:rPr>
              <w:t>(2)</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16,540</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14,933</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21,047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11,758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i w:val="1"/>
                <w:iCs w:val="1"/>
                <w:color w:val="auto"/>
              </w:rPr>
              <w:t>EBITDA Margin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11.2 %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10.7 %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14.3 %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10.0 %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11.9 %</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26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20,604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20,419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20,823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21,305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16,977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21,659</w:t>
            </w:r>
          </w:p>
        </w:tc>
        <w:tc>
          <w:tcPr>
            <w:tcW w:w="0" w:type="dxa"/>
            <w:vAlign w:val="bottom"/>
          </w:tcPr>
          <w:p>
            <w:pPr>
              <w:spacing w:after="0"/>
              <w:rPr>
                <w:sz w:val="1"/>
                <w:szCs w:val="1"/>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i w:val="1"/>
                <w:iCs w:val="1"/>
                <w:color w:val="auto"/>
              </w:rPr>
              <w:t>EBITDA Margin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22.9 %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25.9 %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23.8 %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23.7 %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21.5 %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24.8 %</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(10,675)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(6,333)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36"/>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EBITDA</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26,469</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27,813</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36,019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23,138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31,730</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EBITDA Margin %</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2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11.2 %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0.9 %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12.3 %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15.2 %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11.8 %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14.0 %</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80" w:hanging="171"/>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transaction expenses, gain on sale-leaseback transaction, and gain (loss) on disposal of assets and other.</w:t>
      </w:r>
    </w:p>
    <w:p>
      <w:pPr>
        <w:spacing w:after="0" w:line="70" w:lineRule="exact"/>
        <w:rPr>
          <w:rFonts w:ascii="Arial" w:cs="Arial" w:eastAsia="Arial" w:hAnsi="Arial"/>
          <w:sz w:val="21"/>
          <w:szCs w:val="21"/>
          <w:color w:val="auto"/>
          <w:vertAlign w:val="superscript"/>
        </w:rPr>
      </w:pPr>
    </w:p>
    <w:p>
      <w:pPr>
        <w:jc w:val="both"/>
        <w:ind w:right="20" w:firstLine="9"/>
        <w:spacing w:after="0" w:line="219" w:lineRule="auto"/>
        <w:tabs>
          <w:tab w:leader="none" w:pos="179"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The Company believes that the presentation of EBITDA is useful to investors because EBITDA is an appropriate measure for evaluating operating performance and liquidity that reflects the resources available for strategic opportunities including, among others, investing in the business, strengthening the balance sheet, repurchasing securities and making strategic acquisitions. In addition, EBITDA is a widely used benchmark in the investment community. See the attached separate schedule for the reconciliation of GAAP to non-GAAP financial information.</w:t>
      </w:r>
    </w:p>
    <w:p>
      <w:pPr>
        <w:spacing w:after="0" w:line="3" w:lineRule="exact"/>
        <w:rPr>
          <w:rFonts w:ascii="Arial" w:cs="Arial" w:eastAsia="Arial" w:hAnsi="Arial"/>
          <w:sz w:val="20"/>
          <w:szCs w:val="20"/>
          <w:color w:val="auto"/>
          <w:vertAlign w:val="superscript"/>
        </w:rPr>
      </w:pPr>
    </w:p>
    <w:p>
      <w:pPr>
        <w:ind w:left="180" w:hanging="171"/>
        <w:spacing w:after="0" w:line="228"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Refer to Table 1 for schedule of adjusting items.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780"/>
          </w:cols>
          <w:pgMar w:left="560" w:top="939" w:right="5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Supplemental schedule - Segment information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 xml:space="preserve">As Adjusted </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83"/>
        </w:trPr>
        <w:tc>
          <w:tcPr>
            <w:tcW w:w="39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15"/>
                <w:szCs w:val="15"/>
                <w:color w:val="auto"/>
              </w:rPr>
            </w:pPr>
          </w:p>
        </w:tc>
        <w:tc>
          <w:tcPr>
            <w:tcW w:w="160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5"/>
                <w:szCs w:val="15"/>
                <w:color w:val="auto"/>
              </w:rPr>
            </w:pPr>
          </w:p>
        </w:tc>
        <w:tc>
          <w:tcPr>
            <w:tcW w:w="158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5"/>
                <w:szCs w:val="15"/>
                <w:color w:val="auto"/>
              </w:rPr>
            </w:pPr>
          </w:p>
        </w:tc>
        <w:tc>
          <w:tcPr>
            <w:tcW w:w="160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5"/>
                <w:szCs w:val="15"/>
                <w:color w:val="auto"/>
              </w:rPr>
            </w:pPr>
          </w:p>
        </w:tc>
        <w:tc>
          <w:tcPr>
            <w:tcW w:w="150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412,898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350,275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412,898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350,275</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1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259,410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239,324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259,410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239,324</w:t>
            </w: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671,730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589,274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671,730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589,274</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3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36,879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43,052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26,867</w:t>
            </w: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i w:val="1"/>
                <w:iCs w:val="1"/>
                <w:color w:val="auto"/>
              </w:rPr>
              <w:t>Operating Margin %</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8.9 %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0.9 %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10.4 %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7.7 %</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1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44,023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29,466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44,166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29,821</w:t>
            </w: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i w:val="1"/>
                <w:iCs w:val="1"/>
                <w:color w:val="auto"/>
              </w:rPr>
              <w:t>Operating Margin %</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17.0 %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12.3 %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17.0 %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12.5 %</w:t>
            </w: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(27,693)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(25,628)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(26,972)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(25,168)</w:t>
            </w:r>
          </w:p>
        </w:tc>
        <w:tc>
          <w:tcPr>
            <w:tcW w:w="0" w:type="dxa"/>
            <w:vAlign w:val="bottom"/>
          </w:tcPr>
          <w:p>
            <w:pPr>
              <w:spacing w:after="0"/>
              <w:rPr>
                <w:sz w:val="1"/>
                <w:szCs w:val="1"/>
                <w:color w:val="auto"/>
              </w:rPr>
            </w:pPr>
          </w:p>
        </w:tc>
      </w:tr>
      <w:tr>
        <w:trPr>
          <w:trHeight w:val="242"/>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segment operating income</w:t>
            </w:r>
          </w:p>
        </w:tc>
        <w:tc>
          <w:tcPr>
            <w:tcW w:w="1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53,209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60,246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31,520</w:t>
            </w:r>
          </w:p>
        </w:tc>
        <w:tc>
          <w:tcPr>
            <w:tcW w:w="0" w:type="dxa"/>
            <w:vAlign w:val="bottom"/>
          </w:tcPr>
          <w:p>
            <w:pPr>
              <w:spacing w:after="0"/>
              <w:rPr>
                <w:sz w:val="1"/>
                <w:szCs w:val="1"/>
                <w:color w:val="auto"/>
              </w:rPr>
            </w:pPr>
          </w:p>
        </w:tc>
      </w:tr>
      <w:tr>
        <w:trPr>
          <w:trHeight w:val="237"/>
        </w:trPr>
        <w:tc>
          <w:tcPr>
            <w:tcW w:w="3940" w:type="dxa"/>
            <w:vAlign w:val="bottom"/>
          </w:tcPr>
          <w:p>
            <w:pPr>
              <w:spacing w:after="0" w:line="237" w:lineRule="exact"/>
              <w:rPr>
                <w:sz w:val="20"/>
                <w:szCs w:val="20"/>
                <w:color w:val="auto"/>
              </w:rPr>
            </w:pPr>
            <w:r>
              <w:rPr>
                <w:rFonts w:ascii="Arial" w:cs="Arial" w:eastAsia="Arial" w:hAnsi="Arial"/>
                <w:sz w:val="18"/>
                <w:szCs w:val="18"/>
                <w:color w:val="auto"/>
              </w:rPr>
              <w:t>Other items not in segment operating income</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10,444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51,473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59,777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31,460</w:t>
            </w:r>
          </w:p>
        </w:tc>
        <w:tc>
          <w:tcPr>
            <w:tcW w:w="0" w:type="dxa"/>
            <w:vAlign w:val="bottom"/>
          </w:tcPr>
          <w:p>
            <w:pPr>
              <w:spacing w:after="0"/>
              <w:rPr>
                <w:sz w:val="1"/>
                <w:szCs w:val="1"/>
                <w:color w:val="auto"/>
              </w:rPr>
            </w:pPr>
          </w:p>
        </w:tc>
      </w:tr>
      <w:tr>
        <w:trPr>
          <w:trHeight w:val="21"/>
        </w:trPr>
        <w:tc>
          <w:tcPr>
            <w:tcW w:w="394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Operating Margin %</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7.7 %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2.9 %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8.9 %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5.3 %</w:t>
            </w:r>
          </w:p>
        </w:tc>
        <w:tc>
          <w:tcPr>
            <w:tcW w:w="0" w:type="dxa"/>
            <w:vAlign w:val="bottom"/>
          </w:tcPr>
          <w:p>
            <w:pPr>
              <w:spacing w:after="0"/>
              <w:rPr>
                <w:sz w:val="1"/>
                <w:szCs w:val="1"/>
                <w:color w:val="auto"/>
              </w:rPr>
            </w:pPr>
          </w:p>
        </w:tc>
      </w:tr>
      <w:tr>
        <w:trPr>
          <w:trHeight w:val="517"/>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3"/>
                <w:szCs w:val="23"/>
                <w:b w:val="1"/>
                <w:bCs w:val="1"/>
                <w:color w:val="auto"/>
                <w:vertAlign w:val="superscript"/>
              </w:rPr>
              <w:t>(2)</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43,643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17,473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50,348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35,579</w:t>
            </w: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i w:val="1"/>
                <w:iCs w:val="1"/>
                <w:color w:val="auto"/>
              </w:rPr>
              <w:t>EBITDA Margin %</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10.6 %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5.0 %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12.2 %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10.2 %</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1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57,370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55,770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59,583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47,156</w:t>
            </w: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i w:val="1"/>
                <w:iCs w:val="1"/>
                <w:color w:val="auto"/>
              </w:rPr>
              <w:t>EBITDA Margin %</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22.1 %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23.3 %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23.0 %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19.7 %</w:t>
            </w: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(27,401)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(24,947)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(19,296)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73,612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48,296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90,635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63,717</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EBITDA Margin %</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11.0 %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8.2 %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13.5 %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10.8 %</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transaction expenses, gain on sale-leaseback transaction, and gain (loss) on disposal of assets and other.</w:t>
      </w:r>
    </w:p>
    <w:p>
      <w:pPr>
        <w:spacing w:after="0" w:line="57" w:lineRule="exact"/>
        <w:rPr>
          <w:rFonts w:ascii="Arial" w:cs="Arial" w:eastAsia="Arial" w:hAnsi="Arial"/>
          <w:sz w:val="21"/>
          <w:szCs w:val="21"/>
          <w:color w:val="auto"/>
          <w:vertAlign w:val="superscript"/>
        </w:rPr>
      </w:pPr>
    </w:p>
    <w:p>
      <w:pPr>
        <w:jc w:val="both"/>
        <w:ind w:right="20" w:firstLine="8"/>
        <w:spacing w:after="0" w:line="211" w:lineRule="auto"/>
        <w:tabs>
          <w:tab w:leader="none" w:pos="18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Company believes that the presentation of EBITDA is useful to investors because EBITDA is an appropriate measure for evaluating operating performance and liquidity that reflects the resources available for strategic opportunities including, among others, investing in the business, strengthening the balance sheet, repurchasing securities and making strategic acquisitions. In addition, EBITDA is a widely used benchmark in the investment community. See the attached separate schedule for the reconciliation of GAAP to non-GAAP financial information.</w:t>
      </w:r>
    </w:p>
    <w:p>
      <w:pPr>
        <w:spacing w:after="0" w:line="2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Refer to Table 2 for schedule of adjusting items.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860"/>
          </w:cols>
          <w:pgMar w:left="520" w:top="939" w:right="51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schedule - Orders information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15"/>
                <w:szCs w:val="15"/>
                <w:color w:val="auto"/>
              </w:rPr>
            </w:pPr>
          </w:p>
        </w:tc>
        <w:tc>
          <w:tcPr>
            <w:tcW w:w="146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82" w:lineRule="exact"/>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5"/>
                <w:szCs w:val="15"/>
                <w:color w:val="auto"/>
              </w:rPr>
            </w:pP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June 30, 2026</w:t>
            </w:r>
          </w:p>
        </w:tc>
        <w:tc>
          <w:tcPr>
            <w:tcW w:w="0" w:type="dxa"/>
            <w:vAlign w:val="bottom"/>
          </w:tcPr>
          <w:p>
            <w:pPr>
              <w:spacing w:after="0"/>
              <w:rPr>
                <w:sz w:val="1"/>
                <w:szCs w:val="1"/>
                <w:color w:val="auto"/>
              </w:rPr>
            </w:pPr>
          </w:p>
        </w:tc>
      </w:tr>
      <w:tr>
        <w:trPr>
          <w:trHeight w:val="243"/>
        </w:trPr>
        <w:tc>
          <w:tcPr>
            <w:tcW w:w="59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Orders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Drilling and Completions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142,238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151,473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144,308</w:t>
            </w:r>
          </w:p>
        </w:tc>
        <w:tc>
          <w:tcPr>
            <w:tcW w:w="0" w:type="dxa"/>
            <w:vAlign w:val="bottom"/>
          </w:tcPr>
          <w:p>
            <w:pPr>
              <w:spacing w:after="0"/>
              <w:rPr>
                <w:sz w:val="1"/>
                <w:szCs w:val="1"/>
                <w:color w:val="auto"/>
              </w:rPr>
            </w:pP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88,517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91,631</w:t>
            </w:r>
          </w:p>
        </w:tc>
        <w:tc>
          <w:tcPr>
            <w:tcW w:w="0" w:type="dxa"/>
            <w:vAlign w:val="bottom"/>
          </w:tcPr>
          <w:p>
            <w:pPr>
              <w:spacing w:after="0"/>
              <w:rPr>
                <w:sz w:val="1"/>
                <w:szCs w:val="1"/>
                <w:color w:val="auto"/>
              </w:rPr>
            </w:pPr>
          </w:p>
        </w:tc>
      </w:tr>
      <w:tr>
        <w:trPr>
          <w:trHeight w:val="248"/>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Total orders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243,782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239,990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235,939</w:t>
            </w:r>
          </w:p>
        </w:tc>
        <w:tc>
          <w:tcPr>
            <w:tcW w:w="0" w:type="dxa"/>
            <w:vAlign w:val="bottom"/>
          </w:tcPr>
          <w:p>
            <w:pPr>
              <w:spacing w:after="0"/>
              <w:rPr>
                <w:sz w:val="1"/>
                <w:szCs w:val="1"/>
                <w:color w:val="auto"/>
              </w:rPr>
            </w:pPr>
          </w:p>
        </w:tc>
      </w:tr>
      <w:tr>
        <w:trPr>
          <w:trHeight w:val="50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Drilling and Completions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147,155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117,469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139,004</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87,422</w:t>
            </w:r>
          </w:p>
        </w:tc>
        <w:tc>
          <w:tcPr>
            <w:tcW w:w="0" w:type="dxa"/>
            <w:vAlign w:val="bottom"/>
          </w:tcPr>
          <w:p>
            <w:pPr>
              <w:spacing w:after="0"/>
              <w:rPr>
                <w:sz w:val="1"/>
                <w:szCs w:val="1"/>
                <w:color w:val="auto"/>
              </w:rPr>
            </w:pP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8"/>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236,813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196,231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226,217</w:t>
            </w:r>
          </w:p>
        </w:tc>
        <w:tc>
          <w:tcPr>
            <w:tcW w:w="0" w:type="dxa"/>
            <w:vAlign w:val="bottom"/>
          </w:tcPr>
          <w:p>
            <w:pPr>
              <w:spacing w:after="0"/>
              <w:rPr>
                <w:sz w:val="1"/>
                <w:szCs w:val="1"/>
                <w:color w:val="auto"/>
              </w:rPr>
            </w:pPr>
          </w:p>
        </w:tc>
      </w:tr>
      <w:tr>
        <w:trPr>
          <w:trHeight w:val="50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 xml:space="preserve">Book to bill ratio </w:t>
            </w:r>
            <w:r>
              <w:rPr>
                <w:rFonts w:ascii="Arial" w:cs="Arial" w:eastAsia="Arial" w:hAnsi="Arial"/>
                <w:sz w:val="23"/>
                <w:szCs w:val="23"/>
                <w:b w:val="1"/>
                <w:bCs w:val="1"/>
                <w:color w:val="auto"/>
                <w:vertAlign w:val="superscript"/>
              </w:rPr>
              <w:t>(1)</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Drilling and Completions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6"/>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Total book to bill ratio</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left="20" w:right="20" w:firstLine="1"/>
        <w:spacing w:after="0" w:line="211" w:lineRule="auto"/>
        <w:tabs>
          <w:tab w:leader="none" w:pos="207"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book-to-bill ratio is calculated by dividing the dollar value of orders received in a given period by the revenue earned in that same period. The Company believes that this ratio is useful to investors because it provides an indication of whether the demand for our products is strengthening or declining. A ratio of greater than one is indicative of improving market demand, while a ratio of less than one would suggest weakening demand. In addition, the Company believes the book-to-bill ratio provides more meaningful insight into future revenues for our business than other measures, such as order backlog, because the majority of our products are activity based consumable items or shorter cycle capital equipment, neither of which are typically ordered by customers far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460" w:top="939" w:right="47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1 - Adjusting items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 2026</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center"/>
              <w:ind w:right="29"/>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2026</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260" w:type="dxa"/>
            <w:vAlign w:val="bottom"/>
          </w:tcPr>
          <w:p>
            <w:pPr>
              <w:ind w:left="20"/>
              <w:spacing w:after="0" w:line="144" w:lineRule="exact"/>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2"/>
                <w:szCs w:val="12"/>
                <w:color w:val="auto"/>
              </w:rPr>
            </w:pPr>
          </w:p>
        </w:tc>
        <w:tc>
          <w:tcPr>
            <w:tcW w:w="8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Net income</w:t>
            </w:r>
          </w:p>
        </w:tc>
        <w:tc>
          <w:tcPr>
            <w:tcW w:w="100" w:type="dxa"/>
            <w:vAlign w:val="bottom"/>
          </w:tcPr>
          <w:p>
            <w:pPr>
              <w:spacing w:after="0"/>
              <w:rPr>
                <w:sz w:val="12"/>
                <w:szCs w:val="12"/>
                <w:color w:val="auto"/>
              </w:rPr>
            </w:pPr>
          </w:p>
        </w:tc>
        <w:tc>
          <w:tcPr>
            <w:tcW w:w="8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Net income</w:t>
            </w:r>
          </w:p>
        </w:tc>
        <w:tc>
          <w:tcPr>
            <w:tcW w:w="100" w:type="dxa"/>
            <w:vAlign w:val="bottom"/>
          </w:tcPr>
          <w:p>
            <w:pPr>
              <w:spacing w:after="0"/>
              <w:rPr>
                <w:sz w:val="12"/>
                <w:szCs w:val="12"/>
                <w:color w:val="auto"/>
              </w:rPr>
            </w:pPr>
          </w:p>
        </w:tc>
        <w:tc>
          <w:tcPr>
            <w:tcW w:w="740" w:type="dxa"/>
            <w:vAlign w:val="bottom"/>
          </w:tcPr>
          <w:p>
            <w:pPr>
              <w:jc w:val="right"/>
              <w:ind w:right="49"/>
              <w:spacing w:after="0" w:line="144" w:lineRule="exact"/>
              <w:rPr>
                <w:sz w:val="20"/>
                <w:szCs w:val="20"/>
                <w:color w:val="auto"/>
              </w:rPr>
            </w:pPr>
            <w:r>
              <w:rPr>
                <w:rFonts w:ascii="Arial" w:cs="Arial" w:eastAsia="Arial" w:hAnsi="Arial"/>
                <w:sz w:val="13"/>
                <w:szCs w:val="13"/>
                <w:b w:val="1"/>
                <w:bCs w:val="1"/>
                <w:color w:val="auto"/>
                <w:w w:val="97"/>
              </w:rPr>
              <w:t>Operating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9"/>
              <w:spacing w:after="0" w:line="144" w:lineRule="exact"/>
              <w:rPr>
                <w:sz w:val="20"/>
                <w:szCs w:val="20"/>
                <w:color w:val="auto"/>
              </w:rPr>
            </w:pPr>
            <w:r>
              <w:rPr>
                <w:rFonts w:ascii="Arial" w:cs="Arial" w:eastAsia="Arial" w:hAnsi="Arial"/>
                <w:sz w:val="13"/>
                <w:szCs w:val="13"/>
                <w:b w:val="1"/>
                <w:bCs w:val="1"/>
                <w:color w:val="auto"/>
              </w:rPr>
              <w:t>Net income</w:t>
            </w:r>
          </w:p>
        </w:tc>
        <w:tc>
          <w:tcPr>
            <w:tcW w:w="0" w:type="dxa"/>
            <w:vAlign w:val="bottom"/>
          </w:tcPr>
          <w:p>
            <w:pPr>
              <w:spacing w:after="0"/>
              <w:rPr>
                <w:sz w:val="1"/>
                <w:szCs w:val="1"/>
                <w:color w:val="auto"/>
              </w:rPr>
            </w:pPr>
          </w:p>
        </w:tc>
      </w:tr>
      <w:tr>
        <w:trPr>
          <w:trHeight w:val="18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information)</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 xml:space="preserve">EBITDA </w:t>
            </w:r>
            <w:r>
              <w:rPr>
                <w:rFonts w:ascii="Arial" w:cs="Arial" w:eastAsia="Arial" w:hAnsi="Arial"/>
                <w:sz w:val="16"/>
                <w:szCs w:val="16"/>
                <w:b w:val="1"/>
                <w:bCs w:val="1"/>
                <w:color w:val="auto"/>
                <w:w w:val="92"/>
                <w:vertAlign w:val="superscript"/>
              </w:rPr>
              <w:t>(1)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5"/>
              </w:rPr>
              <w:t xml:space="preserve">EBITDA </w:t>
            </w:r>
            <w:r>
              <w:rPr>
                <w:rFonts w:ascii="Arial" w:cs="Arial" w:eastAsia="Arial" w:hAnsi="Arial"/>
                <w:sz w:val="16"/>
                <w:szCs w:val="16"/>
                <w:b w:val="1"/>
                <w:bCs w:val="1"/>
                <w:color w:val="auto"/>
                <w:w w:val="95"/>
                <w:vertAlign w:val="superscript"/>
              </w:rPr>
              <w:t>(1)</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 xml:space="preserve">EBITDA </w:t>
            </w:r>
            <w:r>
              <w:rPr>
                <w:rFonts w:ascii="Arial" w:cs="Arial" w:eastAsia="Arial" w:hAnsi="Arial"/>
                <w:sz w:val="16"/>
                <w:szCs w:val="16"/>
                <w:b w:val="1"/>
                <w:bCs w:val="1"/>
                <w:color w:val="auto"/>
                <w:w w:val="92"/>
                <w:vertAlign w:val="superscript"/>
              </w:rPr>
              <w:t>(1)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208"/>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19,961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26,469</w:t>
            </w:r>
          </w:p>
        </w:tc>
        <w:tc>
          <w:tcPr>
            <w:tcW w:w="1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ind w:right="109"/>
              <w:spacing w:after="0"/>
              <w:rPr>
                <w:sz w:val="20"/>
                <w:szCs w:val="20"/>
                <w:color w:val="auto"/>
              </w:rPr>
            </w:pPr>
            <w:r>
              <w:rPr>
                <w:rFonts w:ascii="Arial" w:cs="Arial" w:eastAsia="Arial" w:hAnsi="Arial"/>
                <w:sz w:val="14"/>
                <w:szCs w:val="14"/>
                <w:b w:val="1"/>
                <w:bCs w:val="1"/>
                <w:color w:val="auto"/>
              </w:rPr>
              <w:t>11,230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rPr>
              <w:t>(6,106)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1,748</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69"/>
              <w:spacing w:after="0"/>
              <w:rPr>
                <w:sz w:val="20"/>
                <w:szCs w:val="20"/>
                <w:color w:val="auto"/>
              </w:rPr>
            </w:pPr>
            <w:r>
              <w:rPr>
                <w:rFonts w:ascii="Arial" w:cs="Arial" w:eastAsia="Arial" w:hAnsi="Arial"/>
                <w:sz w:val="14"/>
                <w:szCs w:val="14"/>
                <w:b w:val="1"/>
                <w:bCs w:val="1"/>
                <w:color w:val="auto"/>
              </w:rPr>
              <w:t>(20,554)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20,507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27,813</w:t>
            </w:r>
          </w:p>
        </w:tc>
        <w:tc>
          <w:tcPr>
            <w:tcW w:w="1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129"/>
              <w:spacing w:after="0"/>
              <w:rPr>
                <w:sz w:val="20"/>
                <w:szCs w:val="20"/>
                <w:color w:val="auto"/>
              </w:rPr>
            </w:pPr>
            <w:r>
              <w:rPr>
                <w:rFonts w:ascii="Arial" w:cs="Arial" w:eastAsia="Arial" w:hAnsi="Arial"/>
                <w:sz w:val="14"/>
                <w:szCs w:val="14"/>
                <w:b w:val="1"/>
                <w:bCs w:val="1"/>
                <w:color w:val="auto"/>
              </w:rPr>
              <w:t>12,407</w:t>
            </w:r>
          </w:p>
        </w:tc>
        <w:tc>
          <w:tcPr>
            <w:tcW w:w="0" w:type="dxa"/>
            <w:vAlign w:val="bottom"/>
          </w:tcPr>
          <w:p>
            <w:pPr>
              <w:spacing w:after="0"/>
              <w:rPr>
                <w:sz w:val="1"/>
                <w:szCs w:val="1"/>
                <w:color w:val="auto"/>
              </w:rPr>
            </w:pPr>
          </w:p>
        </w:tc>
      </w:tr>
      <w:tr>
        <w:trPr>
          <w:trHeight w:val="210"/>
        </w:trPr>
        <w:tc>
          <w:tcPr>
            <w:tcW w:w="2260" w:type="dxa"/>
            <w:vAlign w:val="bottom"/>
          </w:tcPr>
          <w:p>
            <w:pPr>
              <w:ind w:left="140"/>
              <w:spacing w:after="0"/>
              <w:rPr>
                <w:sz w:val="20"/>
                <w:szCs w:val="20"/>
                <w:color w:val="auto"/>
              </w:rPr>
            </w:pPr>
            <w:r>
              <w:rPr>
                <w:rFonts w:ascii="Arial" w:cs="Arial" w:eastAsia="Arial" w:hAnsi="Arial"/>
                <w:sz w:val="14"/>
                <w:szCs w:val="14"/>
                <w:i w:val="1"/>
                <w:iCs w:val="1"/>
                <w:color w:val="auto"/>
              </w:rPr>
              <w:t>% of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8.4 %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11.2 %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4.7 %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0.9 %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9.1 %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12.3 %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5.5 %</w:t>
            </w:r>
          </w:p>
        </w:tc>
        <w:tc>
          <w:tcPr>
            <w:tcW w:w="0" w:type="dxa"/>
            <w:vAlign w:val="bottom"/>
          </w:tcPr>
          <w:p>
            <w:pPr>
              <w:spacing w:after="0"/>
              <w:rPr>
                <w:sz w:val="1"/>
                <w:szCs w:val="1"/>
                <w:color w:val="auto"/>
              </w:rPr>
            </w:pPr>
          </w:p>
        </w:tc>
      </w:tr>
      <w:tr>
        <w:trPr>
          <w:trHeight w:val="216"/>
        </w:trPr>
        <w:tc>
          <w:tcPr>
            <w:tcW w:w="2260" w:type="dxa"/>
            <w:vAlign w:val="bottom"/>
          </w:tcPr>
          <w:p>
            <w:pPr>
              <w:ind w:left="140"/>
              <w:spacing w:after="0"/>
              <w:rPr>
                <w:sz w:val="20"/>
                <w:szCs w:val="20"/>
                <w:color w:val="auto"/>
              </w:rPr>
            </w:pPr>
            <w:r>
              <w:rPr>
                <w:rFonts w:ascii="Arial" w:cs="Arial" w:eastAsia="Arial" w:hAnsi="Arial"/>
                <w:sz w:val="14"/>
                <w:szCs w:val="14"/>
                <w:color w:val="auto"/>
              </w:rPr>
              <w:t>Restructuring and other costs</w:t>
            </w:r>
          </w:p>
        </w:tc>
        <w:tc>
          <w:tcPr>
            <w:tcW w:w="10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4,877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4,877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4,877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216"/>
        </w:trPr>
        <w:tc>
          <w:tcPr>
            <w:tcW w:w="2260" w:type="dxa"/>
            <w:vAlign w:val="bottom"/>
          </w:tcPr>
          <w:p>
            <w:pPr>
              <w:ind w:left="140"/>
              <w:spacing w:after="0"/>
              <w:rPr>
                <w:sz w:val="20"/>
                <w:szCs w:val="20"/>
                <w:color w:val="auto"/>
              </w:rPr>
            </w:pPr>
            <w:r>
              <w:rPr>
                <w:rFonts w:ascii="Arial" w:cs="Arial" w:eastAsia="Arial" w:hAnsi="Arial"/>
                <w:sz w:val="14"/>
                <w:szCs w:val="14"/>
                <w:color w:val="auto"/>
              </w:rPr>
              <w:t>Transaction expenses</w:t>
            </w:r>
          </w:p>
        </w:tc>
        <w:tc>
          <w:tcPr>
            <w:tcW w:w="10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4"/>
        </w:trPr>
        <w:tc>
          <w:tcPr>
            <w:tcW w:w="2260" w:type="dxa"/>
            <w:vAlign w:val="bottom"/>
          </w:tcPr>
          <w:p>
            <w:pPr>
              <w:ind w:left="140"/>
              <w:spacing w:after="0"/>
              <w:rPr>
                <w:sz w:val="20"/>
                <w:szCs w:val="20"/>
                <w:color w:val="auto"/>
              </w:rPr>
            </w:pPr>
            <w:r>
              <w:rPr>
                <w:rFonts w:ascii="Arial" w:cs="Arial" w:eastAsia="Arial" w:hAnsi="Arial"/>
                <w:sz w:val="14"/>
                <w:szCs w:val="14"/>
                <w:color w:val="auto"/>
              </w:rPr>
              <w:t>Inventory and other assets</w:t>
            </w:r>
          </w:p>
        </w:tc>
        <w:tc>
          <w:tcPr>
            <w:tcW w:w="100" w:type="dxa"/>
            <w:vAlign w:val="bottom"/>
          </w:tcPr>
          <w:p>
            <w:pPr>
              <w:spacing w:after="0"/>
              <w:rPr>
                <w:sz w:val="15"/>
                <w:szCs w:val="15"/>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129"/>
              <w:spacing w:after="0"/>
              <w:rPr>
                <w:sz w:val="20"/>
                <w:szCs w:val="20"/>
                <w:color w:val="auto"/>
              </w:rPr>
            </w:pPr>
            <w:r>
              <w:rPr>
                <w:rFonts w:ascii="Arial" w:cs="Arial" w:eastAsia="Arial" w:hAnsi="Arial"/>
                <w:sz w:val="14"/>
                <w:szCs w:val="14"/>
                <w:color w:val="auto"/>
              </w:rPr>
              <w:t>20,900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129"/>
              <w:spacing w:after="0"/>
              <w:rPr>
                <w:sz w:val="20"/>
                <w:szCs w:val="20"/>
                <w:color w:val="auto"/>
              </w:rPr>
            </w:pPr>
            <w:r>
              <w:rPr>
                <w:rFonts w:ascii="Arial" w:cs="Arial" w:eastAsia="Arial" w:hAnsi="Arial"/>
                <w:sz w:val="14"/>
                <w:szCs w:val="14"/>
                <w:color w:val="auto"/>
              </w:rPr>
              <w:t>20,900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4"/>
                <w:szCs w:val="14"/>
                <w:color w:val="auto"/>
              </w:rPr>
              <w:t>20,900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69"/>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69"/>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89"/>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09"/>
        </w:trPr>
        <w:tc>
          <w:tcPr>
            <w:tcW w:w="2260" w:type="dxa"/>
            <w:vAlign w:val="bottom"/>
            <w:vMerge w:val="restart"/>
          </w:tcPr>
          <w:p>
            <w:pPr>
              <w:ind w:left="140"/>
              <w:spacing w:after="0"/>
              <w:rPr>
                <w:sz w:val="20"/>
                <w:szCs w:val="20"/>
                <w:color w:val="auto"/>
              </w:rPr>
            </w:pPr>
            <w:r>
              <w:rPr>
                <w:rFonts w:ascii="Arial" w:cs="Arial" w:eastAsia="Arial" w:hAnsi="Arial"/>
                <w:sz w:val="14"/>
                <w:szCs w:val="14"/>
                <w:color w:val="auto"/>
              </w:rPr>
              <w:t>impairment adjustments</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2,571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129"/>
              <w:spacing w:after="0"/>
              <w:rPr>
                <w:sz w:val="20"/>
                <w:szCs w:val="20"/>
                <w:color w:val="auto"/>
              </w:rPr>
            </w:pPr>
            <w:r>
              <w:rPr>
                <w:rFonts w:ascii="Arial" w:cs="Arial" w:eastAsia="Arial" w:hAnsi="Arial"/>
                <w:sz w:val="14"/>
                <w:szCs w:val="14"/>
                <w:color w:val="auto"/>
              </w:rPr>
              <w:t>2,853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2,616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260" w:type="dxa"/>
            <w:vAlign w:val="bottom"/>
            <w:vMerge w:val="restart"/>
          </w:tcPr>
          <w:p>
            <w:pPr>
              <w:ind w:left="14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ind w:left="140"/>
              <w:spacing w:after="0"/>
              <w:rPr>
                <w:sz w:val="20"/>
                <w:szCs w:val="20"/>
                <w:color w:val="auto"/>
              </w:rPr>
            </w:pPr>
            <w:r>
              <w:rPr>
                <w:rFonts w:ascii="Arial" w:cs="Arial" w:eastAsia="Arial" w:hAnsi="Arial"/>
                <w:sz w:val="14"/>
                <w:szCs w:val="14"/>
                <w:color w:val="auto"/>
              </w:rPr>
              <w:t>Gain on sale-leaseback</w:t>
            </w:r>
          </w:p>
        </w:tc>
        <w:tc>
          <w:tcPr>
            <w:tcW w:w="10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89"/>
              <w:spacing w:after="0"/>
              <w:rPr>
                <w:sz w:val="20"/>
                <w:szCs w:val="20"/>
                <w:color w:val="auto"/>
              </w:rPr>
            </w:pPr>
            <w:r>
              <w:rPr>
                <w:rFonts w:ascii="Arial" w:cs="Arial" w:eastAsia="Arial" w:hAnsi="Arial"/>
                <w:sz w:val="14"/>
                <w:szCs w:val="14"/>
                <w:color w:val="auto"/>
              </w:rPr>
              <w:t>(4,279)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89"/>
              <w:spacing w:after="0"/>
              <w:rPr>
                <w:sz w:val="20"/>
                <w:szCs w:val="20"/>
                <w:color w:val="auto"/>
              </w:rPr>
            </w:pPr>
            <w:r>
              <w:rPr>
                <w:rFonts w:ascii="Arial" w:cs="Arial" w:eastAsia="Arial" w:hAnsi="Arial"/>
                <w:sz w:val="14"/>
                <w:szCs w:val="14"/>
                <w:color w:val="auto"/>
              </w:rPr>
              <w:t>(4,279)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(4,279)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260" w:type="dxa"/>
            <w:vAlign w:val="bottom"/>
            <w:vMerge w:val="restart"/>
          </w:tcPr>
          <w:p>
            <w:pPr>
              <w:ind w:left="14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260" w:type="dxa"/>
            <w:vAlign w:val="bottom"/>
          </w:tcPr>
          <w:p>
            <w:pPr>
              <w:ind w:left="140"/>
              <w:spacing w:after="0" w:line="159" w:lineRule="exact"/>
              <w:rPr>
                <w:sz w:val="20"/>
                <w:szCs w:val="20"/>
                <w:color w:val="auto"/>
              </w:rPr>
            </w:pPr>
            <w:r>
              <w:rPr>
                <w:rFonts w:ascii="Arial" w:cs="Arial" w:eastAsia="Arial" w:hAnsi="Arial"/>
                <w:sz w:val="14"/>
                <w:szCs w:val="14"/>
                <w:color w:val="auto"/>
              </w:rPr>
              <w:t>Foreign exchange losses and</w:t>
            </w:r>
          </w:p>
        </w:tc>
        <w:tc>
          <w:tcPr>
            <w:tcW w:w="10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129"/>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29"/>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18"/>
        </w:trPr>
        <w:tc>
          <w:tcPr>
            <w:tcW w:w="2260" w:type="dxa"/>
            <w:vAlign w:val="bottom"/>
          </w:tcPr>
          <w:p>
            <w:pPr>
              <w:ind w:left="140"/>
              <w:spacing w:after="0"/>
              <w:rPr>
                <w:sz w:val="20"/>
                <w:szCs w:val="20"/>
                <w:color w:val="auto"/>
              </w:rPr>
            </w:pPr>
            <w:r>
              <w:rPr>
                <w:rFonts w:ascii="Arial" w:cs="Arial" w:eastAsia="Arial" w:hAnsi="Arial"/>
                <w:sz w:val="14"/>
                <w:szCs w:val="14"/>
                <w:color w:val="auto"/>
              </w:rPr>
              <w:t>other, net</w:t>
            </w:r>
            <w:r>
              <w:rPr>
                <w:rFonts w:ascii="Arial" w:cs="Arial" w:eastAsia="Arial" w:hAnsi="Arial"/>
                <w:sz w:val="18"/>
                <w:szCs w:val="18"/>
                <w:color w:val="auto"/>
                <w:vertAlign w:val="superscript"/>
              </w:rPr>
              <w:t>(2)</w:t>
            </w: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40"/>
              <w:spacing w:after="0" w:line="149" w:lineRule="exact"/>
              <w:rPr>
                <w:sz w:val="20"/>
                <w:szCs w:val="20"/>
                <w:color w:val="auto"/>
              </w:rPr>
            </w:pPr>
            <w:r>
              <w:rPr>
                <w:rFonts w:ascii="Arial" w:cs="Arial" w:eastAsia="Arial" w:hAnsi="Arial"/>
                <w:sz w:val="14"/>
                <w:szCs w:val="14"/>
                <w:color w:val="auto"/>
              </w:rPr>
              <w:t>Valuation allowance reserve on</w:t>
            </w:r>
          </w:p>
        </w:tc>
        <w:tc>
          <w:tcPr>
            <w:tcW w:w="10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4"/>
                <w:szCs w:val="14"/>
                <w:color w:val="auto"/>
              </w:rPr>
              <w:t>5,205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260" w:type="dxa"/>
            <w:vAlign w:val="bottom"/>
            <w:vMerge w:val="restart"/>
          </w:tcPr>
          <w:p>
            <w:pPr>
              <w:ind w:left="14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26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8"/>
                <w:szCs w:val="18"/>
                <w:b w:val="1"/>
                <w:bCs w:val="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26,114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36,019</w:t>
            </w:r>
          </w:p>
        </w:tc>
        <w:tc>
          <w:tcPr>
            <w:tcW w:w="1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ind w:right="109"/>
              <w:spacing w:after="0"/>
              <w:rPr>
                <w:sz w:val="20"/>
                <w:szCs w:val="20"/>
                <w:color w:val="auto"/>
              </w:rPr>
            </w:pPr>
            <w:r>
              <w:rPr>
                <w:rFonts w:ascii="Arial" w:cs="Arial" w:eastAsia="Arial" w:hAnsi="Arial"/>
                <w:sz w:val="14"/>
                <w:szCs w:val="14"/>
                <w:b w:val="1"/>
                <w:bCs w:val="1"/>
                <w:color w:val="auto"/>
              </w:rPr>
              <w:t>18,209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12,270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23,138</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rPr>
              <w:t>3,188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21,108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31,730</w:t>
            </w:r>
          </w:p>
        </w:tc>
        <w:tc>
          <w:tcPr>
            <w:tcW w:w="1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129"/>
              <w:spacing w:after="0"/>
              <w:rPr>
                <w:sz w:val="20"/>
                <w:szCs w:val="20"/>
                <w:color w:val="auto"/>
              </w:rPr>
            </w:pPr>
            <w:r>
              <w:rPr>
                <w:rFonts w:ascii="Arial" w:cs="Arial" w:eastAsia="Arial" w:hAnsi="Arial"/>
                <w:sz w:val="14"/>
                <w:szCs w:val="14"/>
                <w:b w:val="1"/>
                <w:bCs w:val="1"/>
                <w:color w:val="auto"/>
              </w:rPr>
              <w:t>13,708</w:t>
            </w:r>
          </w:p>
        </w:tc>
        <w:tc>
          <w:tcPr>
            <w:tcW w:w="0" w:type="dxa"/>
            <w:vAlign w:val="bottom"/>
          </w:tcPr>
          <w:p>
            <w:pPr>
              <w:spacing w:after="0"/>
              <w:rPr>
                <w:sz w:val="1"/>
                <w:szCs w:val="1"/>
                <w:color w:val="auto"/>
              </w:rPr>
            </w:pPr>
          </w:p>
        </w:tc>
      </w:tr>
      <w:tr>
        <w:trPr>
          <w:trHeight w:val="21"/>
        </w:trPr>
        <w:tc>
          <w:tcPr>
            <w:tcW w:w="22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 of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11.0 %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15.2 %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6.3 %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11.8 %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1.6 %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9.3 %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14.0 %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6.1 %</w:t>
            </w:r>
          </w:p>
        </w:tc>
        <w:tc>
          <w:tcPr>
            <w:tcW w:w="0" w:type="dxa"/>
            <w:vAlign w:val="bottom"/>
          </w:tcPr>
          <w:p>
            <w:pPr>
              <w:spacing w:after="0"/>
              <w:rPr>
                <w:sz w:val="1"/>
                <w:szCs w:val="1"/>
                <w:color w:val="auto"/>
              </w:rPr>
            </w:pPr>
          </w:p>
        </w:tc>
      </w:tr>
      <w:tr>
        <w:trPr>
          <w:trHeight w:val="444"/>
        </w:trPr>
        <w:tc>
          <w:tcPr>
            <w:tcW w:w="2260" w:type="dxa"/>
            <w:vAlign w:val="bottom"/>
          </w:tcPr>
          <w:p>
            <w:pPr>
              <w:ind w:left="140"/>
              <w:spacing w:after="0"/>
              <w:rPr>
                <w:sz w:val="20"/>
                <w:szCs w:val="20"/>
                <w:color w:val="auto"/>
              </w:rPr>
            </w:pPr>
            <w:r>
              <w:rPr>
                <w:rFonts w:ascii="Arial" w:cs="Arial" w:eastAsia="Arial" w:hAnsi="Arial"/>
                <w:sz w:val="14"/>
                <w:szCs w:val="14"/>
                <w:color w:val="auto"/>
              </w:rPr>
              <w:t>Diluted shares outstanding, as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12,061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4"/>
                <w:szCs w:val="14"/>
                <w:color w:val="auto"/>
              </w:rPr>
              <w:t>11,682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right"/>
              <w:ind w:right="129"/>
              <w:spacing w:after="0"/>
              <w:rPr>
                <w:sz w:val="20"/>
                <w:szCs w:val="20"/>
                <w:color w:val="auto"/>
              </w:rPr>
            </w:pPr>
            <w:r>
              <w:rPr>
                <w:rFonts w:ascii="Arial" w:cs="Arial" w:eastAsia="Arial" w:hAnsi="Arial"/>
                <w:sz w:val="14"/>
                <w:szCs w:val="14"/>
                <w:color w:val="auto"/>
              </w:rPr>
              <w:t>11,773</w:t>
            </w:r>
          </w:p>
        </w:tc>
        <w:tc>
          <w:tcPr>
            <w:tcW w:w="0" w:type="dxa"/>
            <w:vAlign w:val="bottom"/>
          </w:tcPr>
          <w:p>
            <w:pPr>
              <w:spacing w:after="0"/>
              <w:rPr>
                <w:sz w:val="1"/>
                <w:szCs w:val="1"/>
                <w:color w:val="auto"/>
              </w:rPr>
            </w:pPr>
          </w:p>
        </w:tc>
      </w:tr>
      <w:tr>
        <w:trPr>
          <w:trHeight w:val="109"/>
        </w:trPr>
        <w:tc>
          <w:tcPr>
            <w:tcW w:w="2260" w:type="dxa"/>
            <w:vAlign w:val="bottom"/>
            <w:vMerge w:val="restart"/>
          </w:tcPr>
          <w:p>
            <w:pPr>
              <w:ind w:left="140"/>
              <w:spacing w:after="0"/>
              <w:rPr>
                <w:sz w:val="20"/>
                <w:szCs w:val="20"/>
                <w:color w:val="auto"/>
              </w:rPr>
            </w:pPr>
            <w:r>
              <w:rPr>
                <w:rFonts w:ascii="Arial" w:cs="Arial" w:eastAsia="Arial" w:hAnsi="Arial"/>
                <w:sz w:val="14"/>
                <w:szCs w:val="14"/>
                <w:color w:val="auto"/>
              </w:rPr>
              <w:t>reported</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ind w:left="140"/>
              <w:spacing w:after="0"/>
              <w:rPr>
                <w:sz w:val="20"/>
                <w:szCs w:val="20"/>
                <w:color w:val="auto"/>
              </w:rPr>
            </w:pPr>
            <w:r>
              <w:rPr>
                <w:rFonts w:ascii="Arial" w:cs="Arial" w:eastAsia="Arial" w:hAnsi="Arial"/>
                <w:sz w:val="14"/>
                <w:szCs w:val="14"/>
                <w:color w:val="auto"/>
              </w:rPr>
              <w:t>Diluted shares outstanding, as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12,061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4"/>
                <w:szCs w:val="14"/>
                <w:color w:val="auto"/>
              </w:rPr>
              <w:t>11,682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29"/>
              <w:spacing w:after="0"/>
              <w:rPr>
                <w:sz w:val="20"/>
                <w:szCs w:val="20"/>
                <w:color w:val="auto"/>
              </w:rPr>
            </w:pPr>
            <w:r>
              <w:rPr>
                <w:rFonts w:ascii="Arial" w:cs="Arial" w:eastAsia="Arial" w:hAnsi="Arial"/>
                <w:sz w:val="14"/>
                <w:szCs w:val="14"/>
                <w:color w:val="auto"/>
              </w:rPr>
              <w:t>11,773</w:t>
            </w:r>
          </w:p>
        </w:tc>
        <w:tc>
          <w:tcPr>
            <w:tcW w:w="0" w:type="dxa"/>
            <w:vAlign w:val="bottom"/>
          </w:tcPr>
          <w:p>
            <w:pPr>
              <w:spacing w:after="0"/>
              <w:rPr>
                <w:sz w:val="1"/>
                <w:szCs w:val="1"/>
                <w:color w:val="auto"/>
              </w:rPr>
            </w:pPr>
          </w:p>
        </w:tc>
      </w:tr>
      <w:tr>
        <w:trPr>
          <w:trHeight w:val="109"/>
        </w:trPr>
        <w:tc>
          <w:tcPr>
            <w:tcW w:w="2260" w:type="dxa"/>
            <w:vAlign w:val="bottom"/>
            <w:vMerge w:val="restart"/>
          </w:tcPr>
          <w:p>
            <w:pPr>
              <w:ind w:left="140"/>
              <w:spacing w:after="0"/>
              <w:rPr>
                <w:sz w:val="20"/>
                <w:szCs w:val="20"/>
                <w:color w:val="auto"/>
              </w:rPr>
            </w:pPr>
            <w:r>
              <w:rPr>
                <w:rFonts w:ascii="Arial" w:cs="Arial" w:eastAsia="Arial" w:hAnsi="Arial"/>
                <w:sz w:val="14"/>
                <w:szCs w:val="14"/>
                <w:color w:val="auto"/>
              </w:rPr>
              <w:t>adjusted</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3"/>
        </w:trPr>
        <w:tc>
          <w:tcPr>
            <w:tcW w:w="2260" w:type="dxa"/>
            <w:vAlign w:val="bottom"/>
          </w:tcPr>
          <w:p>
            <w:pPr>
              <w:ind w:left="140"/>
              <w:spacing w:after="0"/>
              <w:rPr>
                <w:sz w:val="20"/>
                <w:szCs w:val="20"/>
                <w:color w:val="auto"/>
              </w:rPr>
            </w:pPr>
            <w:r>
              <w:rPr>
                <w:rFonts w:ascii="Arial" w:cs="Arial" w:eastAsia="Arial" w:hAnsi="Arial"/>
                <w:sz w:val="14"/>
                <w:szCs w:val="14"/>
                <w:color w:val="auto"/>
              </w:rPr>
              <w:t>Diluted EPS, as reported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0.93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16"/>
        </w:trPr>
        <w:tc>
          <w:tcPr>
            <w:tcW w:w="2260" w:type="dxa"/>
            <w:vAlign w:val="bottom"/>
          </w:tcPr>
          <w:p>
            <w:pPr>
              <w:ind w:left="140"/>
              <w:spacing w:after="0"/>
              <w:rPr>
                <w:sz w:val="20"/>
                <w:szCs w:val="20"/>
                <w:color w:val="auto"/>
              </w:rPr>
            </w:pPr>
            <w:r>
              <w:rPr>
                <w:rFonts w:ascii="Arial" w:cs="Arial" w:eastAsia="Arial" w:hAnsi="Arial"/>
                <w:sz w:val="14"/>
                <w:szCs w:val="14"/>
                <w:color w:val="auto"/>
              </w:rPr>
              <w:t>Diluted EPS, as adjusted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left="20" w:right="20" w:hanging="5"/>
        <w:spacing w:after="0" w:line="211" w:lineRule="auto"/>
        <w:tabs>
          <w:tab w:leader="none" w:pos="197"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 Company believes that the presentation of EBITDA, adjusted EBITDA, adjusted operating loss, adjusted net loss and adjusted diluted EPS are useful to investors because (i) each of these financial metrics are useful to investors to assess and understand operating performance, especially when comparing those results with previous and subsequent periods or forecasting performance for future periods, primarily because management views the excluded items to be outside of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 See the attached separate schedule for the reconciliation of GAAP to non-GAAP financial information.</w:t>
      </w:r>
    </w:p>
    <w:p>
      <w:pPr>
        <w:spacing w:after="0" w:line="302" w:lineRule="exact"/>
        <w:rPr>
          <w:rFonts w:ascii="Arial" w:cs="Arial" w:eastAsia="Arial" w:hAnsi="Arial"/>
          <w:sz w:val="21"/>
          <w:szCs w:val="21"/>
          <w:color w:val="auto"/>
          <w:vertAlign w:val="superscript"/>
        </w:rPr>
      </w:pPr>
    </w:p>
    <w:p>
      <w:pPr>
        <w:ind w:left="20" w:right="20" w:hanging="5"/>
        <w:spacing w:after="0" w:line="212" w:lineRule="auto"/>
        <w:tabs>
          <w:tab w:leader="none" w:pos="20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Foreign exchange, net primarily relates to cash and receivables denominated in U.S. dollars by some of our non-U.S. subsidiaries that report in a local currency, and therefore the loss (gain) has no economic impact in dollar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820"/>
          </w:cols>
          <w:pgMar w:left="540" w:top="939" w:right="5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2 - Adjusting items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center"/>
              <w:ind w:right="930"/>
              <w:spacing w:after="0"/>
              <w:rPr>
                <w:sz w:val="20"/>
                <w:szCs w:val="20"/>
                <w:color w:val="auto"/>
              </w:rPr>
            </w:pPr>
            <w:r>
              <w:rPr>
                <w:rFonts w:ascii="Arial" w:cs="Arial" w:eastAsia="Arial" w:hAnsi="Arial"/>
                <w:sz w:val="18"/>
                <w:szCs w:val="18"/>
                <w:b w:val="1"/>
                <w:bCs w:val="1"/>
                <w:color w:val="auto"/>
                <w:w w:val="99"/>
              </w:rPr>
              <w:t>September 30, 2026</w:t>
            </w: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950"/>
              <w:spacing w:after="0"/>
              <w:rPr>
                <w:sz w:val="20"/>
                <w:szCs w:val="20"/>
                <w:color w:val="auto"/>
              </w:rPr>
            </w:pPr>
            <w:r>
              <w:rPr>
                <w:rFonts w:ascii="Arial" w:cs="Arial" w:eastAsia="Arial" w:hAnsi="Arial"/>
                <w:sz w:val="18"/>
                <w:szCs w:val="18"/>
                <w:b w:val="1"/>
                <w:bCs w:val="1"/>
                <w:color w:val="auto"/>
                <w:w w:val="99"/>
              </w:rPr>
              <w:t>September 30, 2025</w:t>
            </w:r>
          </w:p>
        </w:tc>
        <w:tc>
          <w:tcPr>
            <w:tcW w:w="0" w:type="dxa"/>
            <w:vAlign w:val="bottom"/>
          </w:tcPr>
          <w:p>
            <w:pPr>
              <w:spacing w:after="0"/>
              <w:rPr>
                <w:sz w:val="1"/>
                <w:szCs w:val="1"/>
                <w:color w:val="auto"/>
              </w:rPr>
            </w:pPr>
          </w:p>
        </w:tc>
      </w:tr>
      <w:tr>
        <w:trPr>
          <w:trHeight w:val="183"/>
        </w:trPr>
        <w:tc>
          <w:tcPr>
            <w:tcW w:w="3120" w:type="dxa"/>
            <w:vAlign w:val="bottom"/>
          </w:tcPr>
          <w:p>
            <w:pPr>
              <w:spacing w:after="0" w:line="182" w:lineRule="exact"/>
              <w:rPr>
                <w:sz w:val="20"/>
                <w:szCs w:val="20"/>
                <w:color w:val="auto"/>
              </w:rPr>
            </w:pPr>
            <w:r>
              <w:rPr>
                <w:rFonts w:ascii="Arial" w:cs="Arial" w:eastAsia="Arial" w:hAnsi="Arial"/>
                <w:sz w:val="18"/>
                <w:szCs w:val="18"/>
                <w:i w:val="1"/>
                <w:iCs w:val="1"/>
                <w:color w:val="auto"/>
              </w:rPr>
              <w:t>(in thousands, except per share</w:t>
            </w:r>
          </w:p>
        </w:tc>
        <w:tc>
          <w:tcPr>
            <w:tcW w:w="1040" w:type="dxa"/>
            <w:vAlign w:val="bottom"/>
          </w:tcPr>
          <w:p>
            <w:pPr>
              <w:jc w:val="center"/>
              <w:ind w:left="70"/>
              <w:spacing w:after="0" w:line="182" w:lineRule="exact"/>
              <w:rPr>
                <w:sz w:val="20"/>
                <w:szCs w:val="20"/>
                <w:color w:val="auto"/>
              </w:rPr>
            </w:pPr>
            <w:r>
              <w:rPr>
                <w:rFonts w:ascii="Arial" w:cs="Arial" w:eastAsia="Arial" w:hAnsi="Arial"/>
                <w:sz w:val="18"/>
                <w:szCs w:val="18"/>
                <w:b w:val="1"/>
                <w:bCs w:val="1"/>
                <w:color w:val="auto"/>
                <w:w w:val="98"/>
              </w:rPr>
              <w:t>Operating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xml:space="preserve">EBITDA </w:t>
            </w:r>
            <w:r>
              <w:rPr>
                <w:rFonts w:ascii="Arial" w:cs="Arial" w:eastAsia="Arial" w:hAnsi="Arial"/>
                <w:sz w:val="23"/>
                <w:szCs w:val="23"/>
                <w:b w:val="1"/>
                <w:bCs w:val="1"/>
                <w:color w:val="auto"/>
                <w:w w:val="94"/>
                <w:vertAlign w:val="superscript"/>
              </w:rPr>
              <w:t>(1)</w:t>
            </w:r>
          </w:p>
        </w:tc>
        <w:tc>
          <w:tcPr>
            <w:tcW w:w="120" w:type="dxa"/>
            <w:vAlign w:val="bottom"/>
            <w:vMerge w:val="restart"/>
          </w:tcPr>
          <w:p>
            <w:pPr>
              <w:spacing w:after="0"/>
              <w:rPr>
                <w:sz w:val="15"/>
                <w:szCs w:val="15"/>
                <w:color w:val="auto"/>
              </w:rPr>
            </w:pPr>
          </w:p>
        </w:tc>
        <w:tc>
          <w:tcPr>
            <w:tcW w:w="1300" w:type="dxa"/>
            <w:vAlign w:val="bottom"/>
            <w:gridSpan w:val="2"/>
          </w:tcPr>
          <w:p>
            <w:pPr>
              <w:jc w:val="center"/>
              <w:ind w:right="120"/>
              <w:spacing w:after="0" w:line="182" w:lineRule="exact"/>
              <w:rPr>
                <w:sz w:val="20"/>
                <w:szCs w:val="20"/>
                <w:color w:val="auto"/>
              </w:rPr>
            </w:pPr>
            <w:r>
              <w:rPr>
                <w:rFonts w:ascii="Arial" w:cs="Arial" w:eastAsia="Arial" w:hAnsi="Arial"/>
                <w:sz w:val="18"/>
                <w:szCs w:val="18"/>
                <w:b w:val="1"/>
                <w:bCs w:val="1"/>
                <w:color w:val="auto"/>
              </w:rPr>
              <w:t>Net income</w:t>
            </w:r>
          </w:p>
        </w:tc>
        <w:tc>
          <w:tcPr>
            <w:tcW w:w="1040" w:type="dxa"/>
            <w:vAlign w:val="bottom"/>
          </w:tcPr>
          <w:p>
            <w:pPr>
              <w:jc w:val="center"/>
              <w:ind w:left="30"/>
              <w:spacing w:after="0" w:line="182" w:lineRule="exact"/>
              <w:rPr>
                <w:sz w:val="20"/>
                <w:szCs w:val="20"/>
                <w:color w:val="auto"/>
              </w:rPr>
            </w:pPr>
            <w:r>
              <w:rPr>
                <w:rFonts w:ascii="Arial" w:cs="Arial" w:eastAsia="Arial" w:hAnsi="Arial"/>
                <w:sz w:val="18"/>
                <w:szCs w:val="18"/>
                <w:b w:val="1"/>
                <w:bCs w:val="1"/>
                <w:color w:val="auto"/>
                <w:w w:val="98"/>
              </w:rPr>
              <w:t>Operating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 xml:space="preserve">EBITDA </w:t>
            </w:r>
            <w:r>
              <w:rPr>
                <w:rFonts w:ascii="Arial" w:cs="Arial" w:eastAsia="Arial" w:hAnsi="Arial"/>
                <w:sz w:val="23"/>
                <w:szCs w:val="23"/>
                <w:b w:val="1"/>
                <w:bCs w:val="1"/>
                <w:color w:val="auto"/>
                <w:w w:val="96"/>
                <w:vertAlign w:val="superscript"/>
              </w:rPr>
              <w:t>(1)</w:t>
            </w:r>
          </w:p>
        </w:tc>
        <w:tc>
          <w:tcPr>
            <w:tcW w:w="100" w:type="dxa"/>
            <w:vAlign w:val="bottom"/>
            <w:vMerge w:val="restart"/>
          </w:tcPr>
          <w:p>
            <w:pPr>
              <w:spacing w:after="0"/>
              <w:rPr>
                <w:sz w:val="15"/>
                <w:szCs w:val="15"/>
                <w:color w:val="auto"/>
              </w:rPr>
            </w:pPr>
          </w:p>
        </w:tc>
        <w:tc>
          <w:tcPr>
            <w:tcW w:w="12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rPr>
              <w:t>Net income</w:t>
            </w:r>
          </w:p>
        </w:tc>
        <w:tc>
          <w:tcPr>
            <w:tcW w:w="0" w:type="dxa"/>
            <w:vAlign w:val="bottom"/>
          </w:tcPr>
          <w:p>
            <w:pPr>
              <w:spacing w:after="0"/>
              <w:rPr>
                <w:sz w:val="1"/>
                <w:szCs w:val="1"/>
                <w:color w:val="auto"/>
              </w:rPr>
            </w:pPr>
          </w:p>
        </w:tc>
      </w:tr>
      <w:tr>
        <w:trPr>
          <w:trHeight w:val="243"/>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information)</w:t>
            </w:r>
          </w:p>
        </w:tc>
        <w:tc>
          <w:tcPr>
            <w:tcW w:w="10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income</w:t>
            </w: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rPr>
              <w:t>income</w:t>
            </w:r>
          </w:p>
        </w:tc>
        <w:tc>
          <w:tcPr>
            <w:tcW w:w="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0"/>
                <w:szCs w:val="20"/>
                <w:color w:val="auto"/>
              </w:rPr>
            </w:pPr>
            <w:r>
              <w:rPr>
                <w:rFonts w:ascii="Arial" w:cs="Arial" w:eastAsia="Arial" w:hAnsi="Arial"/>
                <w:sz w:val="18"/>
                <w:szCs w:val="18"/>
                <w:b w:val="1"/>
                <w:bCs w:val="1"/>
                <w:color w:val="auto"/>
              </w:rPr>
              <w:t>As reported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   51,473</w:t>
            </w:r>
          </w:p>
        </w:tc>
        <w:tc>
          <w:tcPr>
            <w:tcW w:w="14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   73,612</w:t>
            </w:r>
          </w:p>
        </w:tc>
        <w:tc>
          <w:tcPr>
            <w:tcW w:w="1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   28,129</w:t>
            </w: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   17,381</w:t>
            </w:r>
          </w:p>
        </w:tc>
        <w:tc>
          <w:tcPr>
            <w:tcW w:w="14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   48,296</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   (11,732)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20"/>
          </w:cols>
          <w:pgMar w:left="540" w:top="1182" w:right="539" w:bottom="1440" w:gutter="0" w:footer="0" w:header="0"/>
        </w:sectPr>
      </w:pPr>
    </w:p>
    <w:p>
      <w:pPr>
        <w:ind w:left="140"/>
        <w:spacing w:after="0"/>
        <w:rPr>
          <w:sz w:val="20"/>
          <w:szCs w:val="20"/>
          <w:color w:val="auto"/>
        </w:rPr>
      </w:pPr>
      <w:r>
        <w:rPr>
          <w:rFonts w:ascii="Arial" w:cs="Arial" w:eastAsia="Arial" w:hAnsi="Arial"/>
          <w:sz w:val="18"/>
          <w:szCs w:val="18"/>
          <w:i w:val="1"/>
          <w:iCs w:val="1"/>
          <w:color w:val="auto"/>
        </w:rPr>
        <w:t>% of revenue</w:t>
      </w:r>
    </w:p>
    <w:p>
      <w:pPr>
        <w:spacing w:after="0" w:line="32" w:lineRule="exact"/>
        <w:rPr>
          <w:sz w:val="20"/>
          <w:szCs w:val="20"/>
          <w:color w:val="auto"/>
        </w:rPr>
      </w:pPr>
    </w:p>
    <w:p>
      <w:pPr>
        <w:ind w:left="140" w:right="600"/>
        <w:spacing w:after="0" w:line="281" w:lineRule="auto"/>
        <w:rPr>
          <w:sz w:val="20"/>
          <w:szCs w:val="20"/>
          <w:color w:val="auto"/>
        </w:rPr>
      </w:pPr>
      <w:r>
        <w:rPr>
          <w:rFonts w:ascii="Arial" w:cs="Arial" w:eastAsia="Arial" w:hAnsi="Arial"/>
          <w:sz w:val="18"/>
          <w:szCs w:val="18"/>
          <w:color w:val="auto"/>
        </w:rPr>
        <w:t>Restructuring and other costs Transaction expenses</w:t>
      </w:r>
    </w:p>
    <w:p>
      <w:pPr>
        <w:spacing w:after="0" w:line="1" w:lineRule="exact"/>
        <w:rPr>
          <w:sz w:val="20"/>
          <w:szCs w:val="20"/>
          <w:color w:val="auto"/>
        </w:rPr>
      </w:pPr>
    </w:p>
    <w:p>
      <w:pPr>
        <w:ind w:left="140" w:right="820"/>
        <w:spacing w:after="0" w:line="265" w:lineRule="auto"/>
        <w:rPr>
          <w:sz w:val="20"/>
          <w:szCs w:val="20"/>
          <w:color w:val="auto"/>
        </w:rPr>
      </w:pPr>
      <w:r>
        <w:rPr>
          <w:rFonts w:ascii="Arial" w:cs="Arial" w:eastAsia="Arial" w:hAnsi="Arial"/>
          <w:sz w:val="17"/>
          <w:szCs w:val="17"/>
          <w:color w:val="auto"/>
        </w:rPr>
        <w:t>Inventory and other assets impairment adjustments</w:t>
      </w:r>
    </w:p>
    <w:p>
      <w:pPr>
        <w:ind w:left="140" w:right="40"/>
        <w:spacing w:after="0" w:line="298" w:lineRule="auto"/>
        <w:rPr>
          <w:sz w:val="20"/>
          <w:szCs w:val="20"/>
          <w:color w:val="auto"/>
        </w:rPr>
      </w:pPr>
      <w:r>
        <w:rPr>
          <w:rFonts w:ascii="Arial" w:cs="Arial" w:eastAsia="Arial" w:hAnsi="Arial"/>
          <w:sz w:val="17"/>
          <w:szCs w:val="17"/>
          <w:color w:val="auto"/>
        </w:rPr>
        <w:t>Stock-based compensation expense Gain on sale-leaseback transactions</w:t>
      </w:r>
    </w:p>
    <w:p>
      <w:pPr>
        <w:spacing w:after="0" w:line="1" w:lineRule="exact"/>
        <w:rPr>
          <w:sz w:val="20"/>
          <w:szCs w:val="20"/>
          <w:color w:val="auto"/>
        </w:rPr>
      </w:pPr>
    </w:p>
    <w:p>
      <w:pPr>
        <w:ind w:left="140"/>
        <w:spacing w:after="0" w:line="229" w:lineRule="auto"/>
        <w:rPr>
          <w:sz w:val="20"/>
          <w:szCs w:val="20"/>
          <w:color w:val="auto"/>
        </w:rPr>
      </w:pPr>
      <w:r>
        <w:rPr>
          <w:rFonts w:ascii="Arial" w:cs="Arial" w:eastAsia="Arial" w:hAnsi="Arial"/>
          <w:sz w:val="18"/>
          <w:szCs w:val="18"/>
          <w:color w:val="auto"/>
        </w:rPr>
        <w:t>Foreign exchange losses (gains) and other, net</w:t>
      </w:r>
      <w:r>
        <w:rPr>
          <w:rFonts w:ascii="Arial" w:cs="Arial" w:eastAsia="Arial" w:hAnsi="Arial"/>
          <w:sz w:val="23"/>
          <w:szCs w:val="23"/>
          <w:color w:val="auto"/>
          <w:vertAlign w:val="superscript"/>
        </w:rPr>
        <w:t>(2)</w:t>
      </w:r>
    </w:p>
    <w:p>
      <w:pPr>
        <w:ind w:left="140" w:right="460"/>
        <w:spacing w:after="0" w:line="229" w:lineRule="auto"/>
        <w:rPr>
          <w:sz w:val="20"/>
          <w:szCs w:val="20"/>
          <w:color w:val="auto"/>
        </w:rPr>
      </w:pPr>
      <w:r>
        <w:rPr>
          <w:rFonts w:ascii="Arial" w:cs="Arial" w:eastAsia="Arial" w:hAnsi="Arial"/>
          <w:sz w:val="18"/>
          <w:szCs w:val="18"/>
          <w:color w:val="auto"/>
        </w:rPr>
        <w:t>Valuation allowance reserve on deferred tax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jc w:val="right"/>
              <w:ind w:right="210"/>
              <w:spacing w:after="0"/>
              <w:rPr>
                <w:sz w:val="20"/>
                <w:szCs w:val="20"/>
                <w:color w:val="auto"/>
              </w:rPr>
            </w:pPr>
            <w:r>
              <w:rPr>
                <w:rFonts w:ascii="Arial" w:cs="Arial" w:eastAsia="Arial" w:hAnsi="Arial"/>
                <w:sz w:val="18"/>
                <w:szCs w:val="18"/>
                <w:i w:val="1"/>
                <w:iCs w:val="1"/>
                <w:color w:val="auto"/>
              </w:rPr>
              <w:t>7.7 %</w:t>
            </w:r>
          </w:p>
        </w:tc>
        <w:tc>
          <w:tcPr>
            <w:tcW w:w="1300" w:type="dxa"/>
            <w:vAlign w:val="bottom"/>
          </w:tcPr>
          <w:p>
            <w:pPr>
              <w:jc w:val="right"/>
              <w:ind w:right="230"/>
              <w:spacing w:after="0"/>
              <w:rPr>
                <w:sz w:val="20"/>
                <w:szCs w:val="20"/>
                <w:color w:val="auto"/>
              </w:rPr>
            </w:pPr>
            <w:r>
              <w:rPr>
                <w:rFonts w:ascii="Arial" w:cs="Arial" w:eastAsia="Arial" w:hAnsi="Arial"/>
                <w:sz w:val="18"/>
                <w:szCs w:val="18"/>
                <w:i w:val="1"/>
                <w:iCs w:val="1"/>
                <w:color w:val="auto"/>
              </w:rPr>
              <w:t>11.0 %</w:t>
            </w:r>
          </w:p>
        </w:tc>
        <w:tc>
          <w:tcPr>
            <w:tcW w:w="1220" w:type="dxa"/>
            <w:vAlign w:val="bottom"/>
          </w:tcPr>
          <w:p>
            <w:pPr>
              <w:jc w:val="right"/>
              <w:ind w:right="150"/>
              <w:spacing w:after="0"/>
              <w:rPr>
                <w:sz w:val="20"/>
                <w:szCs w:val="20"/>
                <w:color w:val="auto"/>
              </w:rPr>
            </w:pPr>
            <w:r>
              <w:rPr>
                <w:rFonts w:ascii="Arial" w:cs="Arial" w:eastAsia="Arial" w:hAnsi="Arial"/>
                <w:sz w:val="18"/>
                <w:szCs w:val="18"/>
                <w:i w:val="1"/>
                <w:iCs w:val="1"/>
                <w:color w:val="auto"/>
              </w:rPr>
              <w:t>4.2 %</w:t>
            </w:r>
          </w:p>
        </w:tc>
        <w:tc>
          <w:tcPr>
            <w:tcW w:w="1300" w:type="dxa"/>
            <w:vAlign w:val="bottom"/>
          </w:tcPr>
          <w:p>
            <w:pPr>
              <w:jc w:val="right"/>
              <w:ind w:right="150"/>
              <w:spacing w:after="0"/>
              <w:rPr>
                <w:sz w:val="20"/>
                <w:szCs w:val="20"/>
                <w:color w:val="auto"/>
              </w:rPr>
            </w:pPr>
            <w:r>
              <w:rPr>
                <w:rFonts w:ascii="Arial" w:cs="Arial" w:eastAsia="Arial" w:hAnsi="Arial"/>
                <w:sz w:val="18"/>
                <w:szCs w:val="18"/>
                <w:i w:val="1"/>
                <w:iCs w:val="1"/>
                <w:color w:val="auto"/>
              </w:rPr>
              <w:t>2.9 %</w:t>
            </w:r>
          </w:p>
        </w:tc>
        <w:tc>
          <w:tcPr>
            <w:tcW w:w="1300" w:type="dxa"/>
            <w:vAlign w:val="bottom"/>
          </w:tcPr>
          <w:p>
            <w:pPr>
              <w:jc w:val="right"/>
              <w:ind w:right="150"/>
              <w:spacing w:after="0"/>
              <w:rPr>
                <w:sz w:val="20"/>
                <w:szCs w:val="20"/>
                <w:color w:val="auto"/>
              </w:rPr>
            </w:pPr>
            <w:r>
              <w:rPr>
                <w:rFonts w:ascii="Arial" w:cs="Arial" w:eastAsia="Arial" w:hAnsi="Arial"/>
                <w:sz w:val="18"/>
                <w:szCs w:val="18"/>
                <w:i w:val="1"/>
                <w:iCs w:val="1"/>
                <w:color w:val="auto"/>
              </w:rPr>
              <w:t>8.2 %</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(2.0)%</w:t>
            </w:r>
          </w:p>
        </w:tc>
      </w:tr>
      <w:tr>
        <w:trPr>
          <w:trHeight w:val="241"/>
        </w:trPr>
        <w:tc>
          <w:tcPr>
            <w:tcW w:w="980" w:type="dxa"/>
            <w:vAlign w:val="bottom"/>
          </w:tcPr>
          <w:p>
            <w:pPr>
              <w:jc w:val="right"/>
              <w:ind w:right="430"/>
              <w:spacing w:after="0"/>
              <w:rPr>
                <w:sz w:val="20"/>
                <w:szCs w:val="20"/>
                <w:color w:val="auto"/>
              </w:rPr>
            </w:pPr>
            <w:r>
              <w:rPr>
                <w:rFonts w:ascii="Arial" w:cs="Arial" w:eastAsia="Arial" w:hAnsi="Arial"/>
                <w:sz w:val="18"/>
                <w:szCs w:val="18"/>
                <w:color w:val="auto"/>
                <w:w w:val="97"/>
              </w:rPr>
              <w:t>7,230</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7,230</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7,230</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3,959</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3,959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3,959</w:t>
            </w:r>
          </w:p>
        </w:tc>
      </w:tr>
      <w:tr>
        <w:trPr>
          <w:trHeight w:val="243"/>
        </w:trPr>
        <w:tc>
          <w:tcPr>
            <w:tcW w:w="980" w:type="dxa"/>
            <w:vAlign w:val="bottom"/>
          </w:tcPr>
          <w:p>
            <w:pPr>
              <w:jc w:val="right"/>
              <w:ind w:right="430"/>
              <w:spacing w:after="0"/>
              <w:rPr>
                <w:sz w:val="20"/>
                <w:szCs w:val="20"/>
                <w:color w:val="auto"/>
              </w:rPr>
            </w:pPr>
            <w:r>
              <w:rPr>
                <w:rFonts w:ascii="Arial" w:cs="Arial" w:eastAsia="Arial" w:hAnsi="Arial"/>
                <w:sz w:val="18"/>
                <w:szCs w:val="18"/>
                <w:color w:val="auto"/>
                <w:w w:val="97"/>
              </w:rPr>
              <w:t>1,464</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1,464</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1,464</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489</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489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489</w:t>
            </w:r>
          </w:p>
        </w:tc>
      </w:tr>
      <w:tr>
        <w:trPr>
          <w:trHeight w:val="338"/>
        </w:trPr>
        <w:tc>
          <w:tcPr>
            <w:tcW w:w="980" w:type="dxa"/>
            <w:vAlign w:val="bottom"/>
          </w:tcPr>
          <w:p>
            <w:pPr>
              <w:jc w:val="right"/>
              <w:ind w:right="390"/>
              <w:spacing w:after="0"/>
              <w:rPr>
                <w:sz w:val="20"/>
                <w:szCs w:val="20"/>
                <w:color w:val="auto"/>
              </w:rPr>
            </w:pPr>
            <w:r>
              <w:rPr>
                <w:rFonts w:ascii="Arial" w:cs="Arial" w:eastAsia="Arial" w:hAnsi="Arial"/>
                <w:sz w:val="18"/>
                <w:szCs w:val="18"/>
                <w:color w:val="auto"/>
              </w:rPr>
              <w:t>(390)</w:t>
            </w: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(390)</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(390)</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20,813</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20,813</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20,813</w:t>
            </w:r>
          </w:p>
        </w:tc>
      </w:tr>
      <w:tr>
        <w:trPr>
          <w:trHeight w:val="338"/>
        </w:trPr>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7,707</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6,420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(11,182)</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(11,182)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(11,182)</w:t>
            </w:r>
          </w:p>
        </w:tc>
      </w:tr>
      <w:tr>
        <w:trPr>
          <w:trHeight w:val="338"/>
        </w:trPr>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1,012</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1,012</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(5,078)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(5,078)</w:t>
            </w:r>
          </w:p>
        </w:tc>
      </w:tr>
      <w:tr>
        <w:trPr>
          <w:trHeight w:val="432"/>
        </w:trPr>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57150</wp:posOffset>
            </wp:positionV>
            <wp:extent cx="4886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080" w:space="540"/>
            <w:col w:w="7200"/>
          </w:cols>
          <w:pgMar w:left="540" w:top="1182" w:right="5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120" w:type="dxa"/>
            <w:vAlign w:val="bottom"/>
          </w:tcPr>
          <w:p>
            <w:pPr>
              <w:spacing w:after="0"/>
              <w:rPr>
                <w:sz w:val="20"/>
                <w:szCs w:val="20"/>
                <w:color w:val="auto"/>
              </w:rPr>
            </w:pPr>
            <w:r>
              <w:rPr>
                <w:rFonts w:ascii="Arial" w:cs="Arial" w:eastAsia="Arial" w:hAnsi="Arial"/>
                <w:sz w:val="18"/>
                <w:szCs w:val="18"/>
                <w:b w:val="1"/>
                <w:bCs w:val="1"/>
                <w:color w:val="auto"/>
              </w:rPr>
              <w:t xml:space="preserve">As adjusted </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59,777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90,635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37,445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31,460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63,717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2,474</w:t>
            </w:r>
          </w:p>
        </w:tc>
        <w:tc>
          <w:tcPr>
            <w:tcW w:w="0" w:type="dxa"/>
            <w:vAlign w:val="bottom"/>
          </w:tcPr>
          <w:p>
            <w:pPr>
              <w:spacing w:after="0"/>
              <w:rPr>
                <w:sz w:val="1"/>
                <w:szCs w:val="1"/>
                <w:color w:val="auto"/>
              </w:rPr>
            </w:pPr>
          </w:p>
        </w:tc>
      </w:tr>
      <w:tr>
        <w:trPr>
          <w:trHeight w:val="21"/>
        </w:trPr>
        <w:tc>
          <w:tcPr>
            <w:tcW w:w="312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8.9 %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13.5 %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5.6 %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5.3 %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10.8 %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0.4 %</w:t>
            </w:r>
          </w:p>
        </w:tc>
        <w:tc>
          <w:tcPr>
            <w:tcW w:w="0" w:type="dxa"/>
            <w:vAlign w:val="bottom"/>
          </w:tcPr>
          <w:p>
            <w:pPr>
              <w:spacing w:after="0"/>
              <w:rPr>
                <w:sz w:val="1"/>
                <w:szCs w:val="1"/>
                <w:color w:val="auto"/>
              </w:rPr>
            </w:pPr>
          </w:p>
        </w:tc>
      </w:tr>
      <w:tr>
        <w:trPr>
          <w:trHeight w:val="455"/>
        </w:trPr>
        <w:tc>
          <w:tcPr>
            <w:tcW w:w="3120" w:type="dxa"/>
            <w:vAlign w:val="bottom"/>
          </w:tcPr>
          <w:p>
            <w:pPr>
              <w:ind w:left="140"/>
              <w:spacing w:after="0"/>
              <w:rPr>
                <w:sz w:val="20"/>
                <w:szCs w:val="20"/>
                <w:color w:val="auto"/>
              </w:rPr>
            </w:pPr>
            <w:r>
              <w:rPr>
                <w:rFonts w:ascii="Arial" w:cs="Arial" w:eastAsia="Arial" w:hAnsi="Arial"/>
                <w:sz w:val="18"/>
                <w:szCs w:val="18"/>
                <w:color w:val="auto"/>
              </w:rPr>
              <w:t>Diluted shares outstanding, as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color w:val="auto"/>
              </w:rPr>
              <w:t>11,827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152"/>
        </w:trPr>
        <w:tc>
          <w:tcPr>
            <w:tcW w:w="3120" w:type="dxa"/>
            <w:vAlign w:val="bottom"/>
            <w:vMerge w:val="restart"/>
          </w:tcPr>
          <w:p>
            <w:pPr>
              <w:ind w:left="140"/>
              <w:spacing w:after="0"/>
              <w:rPr>
                <w:sz w:val="20"/>
                <w:szCs w:val="20"/>
                <w:color w:val="auto"/>
              </w:rPr>
            </w:pPr>
            <w:r>
              <w:rPr>
                <w:rFonts w:ascii="Arial" w:cs="Arial" w:eastAsia="Arial" w:hAnsi="Arial"/>
                <w:sz w:val="18"/>
                <w:szCs w:val="18"/>
                <w:color w:val="auto"/>
              </w:rPr>
              <w:t>reported</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1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line="193" w:lineRule="exact"/>
              <w:rPr>
                <w:sz w:val="20"/>
                <w:szCs w:val="20"/>
                <w:color w:val="auto"/>
              </w:rPr>
            </w:pPr>
            <w:r>
              <w:rPr>
                <w:rFonts w:ascii="Arial" w:cs="Arial" w:eastAsia="Arial" w:hAnsi="Arial"/>
                <w:sz w:val="18"/>
                <w:szCs w:val="18"/>
                <w:color w:val="auto"/>
              </w:rPr>
              <w:t>Diluted shares outstanding, as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color w:val="auto"/>
              </w:rPr>
              <w:t>11,827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153"/>
        </w:trPr>
        <w:tc>
          <w:tcPr>
            <w:tcW w:w="3120" w:type="dxa"/>
            <w:vAlign w:val="bottom"/>
            <w:vMerge w:val="restart"/>
          </w:tcPr>
          <w:p>
            <w:pPr>
              <w:ind w:left="140"/>
              <w:spacing w:after="0"/>
              <w:rPr>
                <w:sz w:val="20"/>
                <w:szCs w:val="20"/>
                <w:color w:val="auto"/>
              </w:rPr>
            </w:pPr>
            <w:r>
              <w:rPr>
                <w:rFonts w:ascii="Arial" w:cs="Arial" w:eastAsia="Arial" w:hAnsi="Arial"/>
                <w:sz w:val="18"/>
                <w:szCs w:val="18"/>
                <w:color w:val="auto"/>
              </w:rPr>
              <w:t>adjusted</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1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1"/>
        </w:trPr>
        <w:tc>
          <w:tcPr>
            <w:tcW w:w="3120" w:type="dxa"/>
            <w:vAlign w:val="bottom"/>
          </w:tcPr>
          <w:p>
            <w:pPr>
              <w:ind w:left="140"/>
              <w:spacing w:after="0"/>
              <w:rPr>
                <w:sz w:val="20"/>
                <w:szCs w:val="20"/>
                <w:color w:val="auto"/>
              </w:rPr>
            </w:pPr>
            <w:r>
              <w:rPr>
                <w:rFonts w:ascii="Arial" w:cs="Arial" w:eastAsia="Arial" w:hAnsi="Arial"/>
                <w:sz w:val="18"/>
                <w:szCs w:val="18"/>
                <w:color w:val="auto"/>
              </w:rPr>
              <w:t>Diluted EPS, as reported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43"/>
        </w:trPr>
        <w:tc>
          <w:tcPr>
            <w:tcW w:w="3120" w:type="dxa"/>
            <w:vAlign w:val="bottom"/>
          </w:tcPr>
          <w:p>
            <w:pPr>
              <w:ind w:left="140"/>
              <w:spacing w:after="0"/>
              <w:rPr>
                <w:sz w:val="20"/>
                <w:szCs w:val="20"/>
                <w:color w:val="auto"/>
              </w:rPr>
            </w:pPr>
            <w:r>
              <w:rPr>
                <w:rFonts w:ascii="Arial" w:cs="Arial" w:eastAsia="Arial" w:hAnsi="Arial"/>
                <w:sz w:val="18"/>
                <w:szCs w:val="18"/>
                <w:color w:val="auto"/>
              </w:rPr>
              <w:t>Diluted EPS, as adjusted</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8"/>
        <w:spacing w:after="0"/>
        <w:tabs>
          <w:tab w:leader="none" w:pos="177"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The Company believes that the presentation of EBITDA, adjusted EBITDA, adjusted operating loss, adjusted net loss and adjusted diluted EPS are useful to investors because (i) they assist with assessing and understanding operating performance, especially when comparing those results with previous and subsequent periods or forecasting performance for future periods, primarily because management views the excluded items to be outside of the Company's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 See the attached separate schedule for the reconciliation of GAAP to non-GAAP financial information.</w:t>
      </w:r>
    </w:p>
    <w:p>
      <w:pPr>
        <w:spacing w:after="0" w:line="200" w:lineRule="exact"/>
        <w:rPr>
          <w:rFonts w:ascii="Arial" w:cs="Arial" w:eastAsia="Arial" w:hAnsi="Arial"/>
          <w:sz w:val="20"/>
          <w:szCs w:val="20"/>
          <w:color w:val="auto"/>
          <w:vertAlign w:val="superscript"/>
        </w:rPr>
      </w:pPr>
    </w:p>
    <w:p>
      <w:pPr>
        <w:spacing w:after="0" w:line="219" w:lineRule="exact"/>
        <w:rPr>
          <w:rFonts w:ascii="Arial" w:cs="Arial" w:eastAsia="Arial" w:hAnsi="Arial"/>
          <w:sz w:val="20"/>
          <w:szCs w:val="20"/>
          <w:color w:val="auto"/>
          <w:vertAlign w:val="superscript"/>
        </w:rPr>
      </w:pPr>
    </w:p>
    <w:p>
      <w:pPr>
        <w:ind w:right="20" w:firstLine="8"/>
        <w:spacing w:after="0" w:line="212" w:lineRule="auto"/>
        <w:tabs>
          <w:tab w:leader="none" w:pos="184"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Foreign exchange, net primarily relates to cash and receivables denominated in U.S. dollars by some of our non-U.S. subsidiaries that report in a local currency, and therefore the loss (gain) has no economic impact in dollar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20"/>
          </w:cols>
          <w:pgMar w:left="540" w:top="1182" w:right="53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3 - Adjusting Items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15"/>
                <w:szCs w:val="15"/>
                <w:color w:val="auto"/>
              </w:rPr>
            </w:pPr>
          </w:p>
        </w:tc>
        <w:tc>
          <w:tcPr>
            <w:tcW w:w="148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2026</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80" w:type="dxa"/>
            <w:vAlign w:val="bottom"/>
          </w:tcPr>
          <w:p>
            <w:pPr>
              <w:ind w:left="20"/>
              <w:spacing w:after="0" w:line="244" w:lineRule="exact"/>
              <w:rPr>
                <w:sz w:val="20"/>
                <w:szCs w:val="20"/>
                <w:color w:val="auto"/>
              </w:rPr>
            </w:pPr>
            <w:r>
              <w:rPr>
                <w:rFonts w:ascii="Arial" w:cs="Arial" w:eastAsia="Arial" w:hAnsi="Arial"/>
                <w:sz w:val="18"/>
                <w:szCs w:val="18"/>
                <w:b w:val="1"/>
                <w:bCs w:val="1"/>
                <w:color w:val="auto"/>
              </w:rPr>
              <w:t xml:space="preserve">EBITDA reconciliation </w:t>
            </w:r>
            <w:r>
              <w:rPr>
                <w:rFonts w:ascii="Arial" w:cs="Arial" w:eastAsia="Arial" w:hAnsi="Arial"/>
                <w:sz w:val="23"/>
                <w:szCs w:val="23"/>
                <w:b w:val="1"/>
                <w:bCs w:val="1"/>
                <w:color w:val="auto"/>
                <w:vertAlign w:val="superscript"/>
              </w:rPr>
              <w:t>(1)</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11,230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(20,554)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12,407</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7,532</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37"/>
        </w:trPr>
        <w:tc>
          <w:tcPr>
            <w:tcW w:w="5780" w:type="dxa"/>
            <w:vAlign w:val="bottom"/>
          </w:tcPr>
          <w:p>
            <w:pPr>
              <w:ind w:left="280"/>
              <w:spacing w:after="0"/>
              <w:rPr>
                <w:sz w:val="20"/>
                <w:szCs w:val="20"/>
                <w:color w:val="auto"/>
              </w:rPr>
            </w:pPr>
            <w:r>
              <w:rPr>
                <w:rFonts w:ascii="Arial" w:cs="Arial" w:eastAsia="Arial" w:hAnsi="Arial"/>
                <w:sz w:val="18"/>
                <w:szCs w:val="18"/>
                <w:b w:val="1"/>
                <w:bCs w:val="1"/>
                <w:color w:val="auto"/>
              </w:rPr>
              <w:t>EBITDA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26,469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27,813</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0" w:right="80" w:firstLine="8"/>
        <w:spacing w:after="0" w:line="212" w:lineRule="auto"/>
        <w:tabs>
          <w:tab w:leader="none" w:pos="256"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Company believes EBITDA is useful to investors because it is an appropriate measure of evaluating operating performance and liquidity. It reflects the resources available for strategic opportunities including, among others, investing in the business, strengthening the balance sheet, repurchasing securities, and making strategic acquisitions. In addition, EBITDA is a widely used benchmark in the investment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4 - Adjusting Items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83"/>
        </w:trPr>
        <w:tc>
          <w:tcPr>
            <w:tcW w:w="76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15"/>
                <w:szCs w:val="15"/>
                <w:color w:val="auto"/>
              </w:rPr>
            </w:pPr>
          </w:p>
        </w:tc>
        <w:tc>
          <w:tcPr>
            <w:tcW w:w="160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5"/>
                <w:szCs w:val="15"/>
                <w:color w:val="auto"/>
              </w:rPr>
            </w:pPr>
          </w:p>
        </w:tc>
        <w:tc>
          <w:tcPr>
            <w:tcW w:w="1500" w:type="dxa"/>
            <w:vAlign w:val="bottom"/>
          </w:tcPr>
          <w:p>
            <w:pPr>
              <w:jc w:val="center"/>
              <w:ind w:right="70"/>
              <w:spacing w:after="0" w:line="182" w:lineRule="exact"/>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5"/>
        </w:trPr>
        <w:tc>
          <w:tcPr>
            <w:tcW w:w="7600" w:type="dxa"/>
            <w:vAlign w:val="bottom"/>
          </w:tcPr>
          <w:p>
            <w:pPr>
              <w:spacing w:after="0" w:line="244" w:lineRule="exact"/>
              <w:rPr>
                <w:sz w:val="20"/>
                <w:szCs w:val="20"/>
                <w:color w:val="auto"/>
              </w:rPr>
            </w:pPr>
            <w:r>
              <w:rPr>
                <w:rFonts w:ascii="Arial" w:cs="Arial" w:eastAsia="Arial" w:hAnsi="Arial"/>
                <w:sz w:val="18"/>
                <w:szCs w:val="18"/>
                <w:b w:val="1"/>
                <w:bCs w:val="1"/>
                <w:color w:val="auto"/>
              </w:rPr>
              <w:t xml:space="preserve">EBITDA reconciliation </w:t>
            </w:r>
            <w:r>
              <w:rPr>
                <w:rFonts w:ascii="Arial" w:cs="Arial" w:eastAsia="Arial" w:hAnsi="Arial"/>
                <w:sz w:val="23"/>
                <w:szCs w:val="23"/>
                <w:b w:val="1"/>
                <w:bCs w:val="1"/>
                <w:color w:val="auto"/>
                <w:vertAlign w:val="superscript"/>
              </w:rPr>
              <w:t>(1)</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28,129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710"/>
              <w:spacing w:after="0"/>
              <w:rPr>
                <w:sz w:val="20"/>
                <w:szCs w:val="20"/>
                <w:color w:val="auto"/>
              </w:rPr>
            </w:pPr>
            <w:r>
              <w:rPr>
                <w:rFonts w:ascii="Arial" w:cs="Arial" w:eastAsia="Arial" w:hAnsi="Arial"/>
                <w:sz w:val="18"/>
                <w:szCs w:val="18"/>
                <w:color w:val="auto"/>
                <w:w w:val="98"/>
              </w:rPr>
              <w:t>(11,732)</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center"/>
              <w:ind w:left="710"/>
              <w:spacing w:after="0"/>
              <w:rPr>
                <w:sz w:val="20"/>
                <w:szCs w:val="20"/>
                <w:color w:val="auto"/>
              </w:rPr>
            </w:pPr>
            <w:r>
              <w:rPr>
                <w:rFonts w:ascii="Arial" w:cs="Arial" w:eastAsia="Arial" w:hAnsi="Arial"/>
                <w:sz w:val="18"/>
                <w:szCs w:val="18"/>
                <w:color w:val="auto"/>
                <w:w w:val="98"/>
              </w:rPr>
              <w:t>14,054</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center"/>
              <w:ind w:left="710"/>
              <w:spacing w:after="0"/>
              <w:rPr>
                <w:sz w:val="20"/>
                <w:szCs w:val="20"/>
                <w:color w:val="auto"/>
              </w:rPr>
            </w:pPr>
            <w:r>
              <w:rPr>
                <w:rFonts w:ascii="Arial" w:cs="Arial" w:eastAsia="Arial" w:hAnsi="Arial"/>
                <w:sz w:val="18"/>
                <w:szCs w:val="18"/>
                <w:color w:val="auto"/>
                <w:w w:val="98"/>
              </w:rPr>
              <w:t>25,914</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8"/>
              </w:rPr>
              <w:t>20,060</w:t>
            </w:r>
          </w:p>
        </w:tc>
        <w:tc>
          <w:tcPr>
            <w:tcW w:w="0" w:type="dxa"/>
            <w:vAlign w:val="bottom"/>
          </w:tcPr>
          <w:p>
            <w:pPr>
              <w:spacing w:after="0"/>
              <w:rPr>
                <w:sz w:val="1"/>
                <w:szCs w:val="1"/>
                <w:color w:val="auto"/>
              </w:rPr>
            </w:pPr>
          </w:p>
        </w:tc>
      </w:tr>
      <w:tr>
        <w:trPr>
          <w:trHeight w:val="236"/>
        </w:trPr>
        <w:tc>
          <w:tcPr>
            <w:tcW w:w="7600" w:type="dxa"/>
            <w:vAlign w:val="bottom"/>
          </w:tcPr>
          <w:p>
            <w:pPr>
              <w:ind w:left="26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8"/>
              </w:rPr>
              <w:t>48,296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firstLine="7"/>
        <w:spacing w:after="0" w:line="224" w:lineRule="auto"/>
        <w:tabs>
          <w:tab w:leader="none" w:pos="175"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The Company believes EBITDA is useful to investors because it is an appropriate measure of evaluating operating performance and liquidity. It reflects the resources available for strategic opportunities including, among others, investing in the business, strengthening the balance sheet, repurchasing securities, and making strategic acquisitions. In addition, EBITDA is a widely used benchmark in the investment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20"/>
          </w:cols>
          <w:pgMar w:left="440" w:top="939" w:right="4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5 - Adjusting items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15"/>
                <w:szCs w:val="15"/>
                <w:color w:val="auto"/>
              </w:rPr>
            </w:pPr>
          </w:p>
        </w:tc>
        <w:tc>
          <w:tcPr>
            <w:tcW w:w="146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260"/>
              <w:spacing w:after="0" w:line="182" w:lineRule="exact"/>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2026</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800" w:type="dxa"/>
            <w:vAlign w:val="bottom"/>
          </w:tcPr>
          <w:p>
            <w:pPr>
              <w:ind w:left="20"/>
              <w:spacing w:after="0" w:line="244" w:lineRule="exact"/>
              <w:rPr>
                <w:sz w:val="20"/>
                <w:szCs w:val="20"/>
                <w:color w:val="auto"/>
              </w:rPr>
            </w:pPr>
            <w:r>
              <w:rPr>
                <w:rFonts w:ascii="Arial" w:cs="Arial" w:eastAsia="Arial" w:hAnsi="Arial"/>
                <w:sz w:val="18"/>
                <w:szCs w:val="18"/>
                <w:b w:val="1"/>
                <w:bCs w:val="1"/>
                <w:color w:val="auto"/>
              </w:rPr>
              <w:t xml:space="preserve">Free cash flow, before acquisitions, reconciliation </w:t>
            </w:r>
            <w:r>
              <w:rPr>
                <w:rFonts w:ascii="Arial" w:cs="Arial" w:eastAsia="Arial" w:hAnsi="Arial"/>
                <w:sz w:val="23"/>
                <w:szCs w:val="23"/>
                <w:b w:val="1"/>
                <w:bCs w:val="1"/>
                <w:color w:val="auto"/>
                <w:vertAlign w:val="superscript"/>
              </w:rPr>
              <w:t>(1)</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32,031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22,866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Capital expenditures for property and equipment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color w:val="auto"/>
              </w:rPr>
              <w:t>Proceeds from sale-leaseback transactions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Free cash flow, before acquisitions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30,333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28,126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 w:right="40" w:hanging="5"/>
        <w:spacing w:after="0" w:line="212" w:lineRule="auto"/>
        <w:tabs>
          <w:tab w:leader="none" w:pos="283"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Company believes free cash flow, before acquisitions is an important measure because it encompasses both profitability and capital management in evaluating results.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6 - Adjusting items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83"/>
        </w:trPr>
        <w:tc>
          <w:tcPr>
            <w:tcW w:w="7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40" w:type="dxa"/>
            <w:vAlign w:val="bottom"/>
          </w:tcPr>
          <w:p>
            <w:pPr>
              <w:spacing w:after="0"/>
              <w:rPr>
                <w:sz w:val="15"/>
                <w:szCs w:val="15"/>
                <w:color w:val="auto"/>
              </w:rPr>
            </w:pPr>
          </w:p>
        </w:tc>
        <w:tc>
          <w:tcPr>
            <w:tcW w:w="150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5"/>
                <w:szCs w:val="15"/>
                <w:color w:val="auto"/>
              </w:rPr>
            </w:pPr>
          </w:p>
        </w:tc>
        <w:tc>
          <w:tcPr>
            <w:tcW w:w="138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78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5"/>
        </w:trPr>
        <w:tc>
          <w:tcPr>
            <w:tcW w:w="7800" w:type="dxa"/>
            <w:vAlign w:val="bottom"/>
          </w:tcPr>
          <w:p>
            <w:pPr>
              <w:ind w:left="20"/>
              <w:spacing w:after="0" w:line="244" w:lineRule="exact"/>
              <w:rPr>
                <w:sz w:val="20"/>
                <w:szCs w:val="20"/>
                <w:color w:val="auto"/>
              </w:rPr>
            </w:pPr>
            <w:r>
              <w:rPr>
                <w:rFonts w:ascii="Arial" w:cs="Arial" w:eastAsia="Arial" w:hAnsi="Arial"/>
                <w:sz w:val="18"/>
                <w:szCs w:val="18"/>
                <w:b w:val="1"/>
                <w:bCs w:val="1"/>
                <w:color w:val="auto"/>
              </w:rPr>
              <w:t xml:space="preserve">Free cash flow, before acquisitions, reconciliation </w:t>
            </w:r>
            <w:r>
              <w:rPr>
                <w:rFonts w:ascii="Arial" w:cs="Arial" w:eastAsia="Arial" w:hAnsi="Arial"/>
                <w:sz w:val="23"/>
                <w:szCs w:val="23"/>
                <w:b w:val="1"/>
                <w:bCs w:val="1"/>
                <w:color w:val="auto"/>
                <w:vertAlign w:val="superscript"/>
              </w:rPr>
              <w:t>(1)</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46,087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47,965</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Capital expenditures for property and equipment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9"/>
        </w:trPr>
        <w:tc>
          <w:tcPr>
            <w:tcW w:w="7800" w:type="dxa"/>
            <w:vAlign w:val="bottom"/>
          </w:tcPr>
          <w:p>
            <w:pPr>
              <w:ind w:left="20"/>
              <w:spacing w:after="0"/>
              <w:rPr>
                <w:sz w:val="20"/>
                <w:szCs w:val="20"/>
                <w:color w:val="auto"/>
              </w:rPr>
            </w:pPr>
            <w:r>
              <w:rPr>
                <w:rFonts w:ascii="Arial" w:cs="Arial" w:eastAsia="Arial" w:hAnsi="Arial"/>
                <w:sz w:val="18"/>
                <w:szCs w:val="18"/>
                <w:color w:val="auto"/>
              </w:rPr>
              <w:t>Proceeds from sale-leaseback transactions</w:t>
            </w:r>
          </w:p>
        </w:tc>
        <w:tc>
          <w:tcPr>
            <w:tcW w:w="1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14,574</w:t>
            </w:r>
          </w:p>
        </w:tc>
        <w:tc>
          <w:tcPr>
            <w:tcW w:w="0" w:type="dxa"/>
            <w:vAlign w:val="bottom"/>
          </w:tcPr>
          <w:p>
            <w:pPr>
              <w:spacing w:after="0"/>
              <w:rPr>
                <w:sz w:val="1"/>
                <w:szCs w:val="1"/>
                <w:color w:val="auto"/>
              </w:rPr>
            </w:pPr>
          </w:p>
        </w:tc>
      </w:tr>
      <w:tr>
        <w:trPr>
          <w:trHeight w:val="236"/>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Free cash flow, before acquisitions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58,249</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right="20" w:firstLine="1"/>
        <w:spacing w:after="0" w:line="212" w:lineRule="auto"/>
        <w:tabs>
          <w:tab w:leader="none" w:pos="19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Company believes free cash flow, before acquisitions is an important measure because it encompasses both profitability and capital management in evaluating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60"/>
          </w:cols>
          <w:pgMar w:left="460" w:top="939" w:right="47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Table 7 - Net Leverage Ratio </w:t>
      </w:r>
      <w:r>
        <w:rPr>
          <w:rFonts w:ascii="Arial" w:cs="Arial" w:eastAsia="Arial" w:hAnsi="Arial"/>
          <w:sz w:val="25"/>
          <w:szCs w:val="25"/>
          <w:b w:val="1"/>
          <w:bCs w:val="1"/>
          <w:color w:val="auto"/>
          <w:vertAlign w:val="superscript"/>
        </w:rPr>
        <w:t>(1)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2026</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1"/>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2029 Bonds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37,282</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color w:val="auto"/>
              </w:rPr>
              <w:t>Other debt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41"/>
        </w:trPr>
        <w:tc>
          <w:tcPr>
            <w:tcW w:w="5800" w:type="dxa"/>
            <w:vAlign w:val="bottom"/>
          </w:tcPr>
          <w:p>
            <w:pPr>
              <w:ind w:left="20"/>
              <w:spacing w:after="0"/>
              <w:rPr>
                <w:sz w:val="20"/>
                <w:szCs w:val="20"/>
                <w:color w:val="auto"/>
              </w:rPr>
            </w:pPr>
            <w:r>
              <w:rPr>
                <w:rFonts w:ascii="Arial" w:cs="Arial" w:eastAsia="Arial" w:hAnsi="Arial"/>
                <w:sz w:val="18"/>
                <w:szCs w:val="18"/>
                <w:color w:val="auto"/>
              </w:rPr>
              <w:t>Long-term debt, principal amount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132,177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148,505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141,290</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34,661</w:t>
            </w:r>
          </w:p>
        </w:tc>
        <w:tc>
          <w:tcPr>
            <w:tcW w:w="0" w:type="dxa"/>
            <w:vAlign w:val="bottom"/>
          </w:tcPr>
          <w:p>
            <w:pPr>
              <w:spacing w:after="0"/>
              <w:rPr>
                <w:sz w:val="1"/>
                <w:szCs w:val="1"/>
                <w:color w:val="auto"/>
              </w:rPr>
            </w:pPr>
          </w:p>
        </w:tc>
      </w:tr>
      <w:tr>
        <w:trPr>
          <w:trHeight w:val="241"/>
        </w:trPr>
        <w:tc>
          <w:tcPr>
            <w:tcW w:w="5800" w:type="dxa"/>
            <w:vAlign w:val="bottom"/>
          </w:tcPr>
          <w:p>
            <w:pPr>
              <w:ind w:left="20"/>
              <w:spacing w:after="0"/>
              <w:rPr>
                <w:sz w:val="20"/>
                <w:szCs w:val="20"/>
                <w:color w:val="auto"/>
              </w:rPr>
            </w:pPr>
            <w:r>
              <w:rPr>
                <w:rFonts w:ascii="Arial" w:cs="Arial" w:eastAsia="Arial" w:hAnsi="Arial"/>
                <w:sz w:val="18"/>
                <w:szCs w:val="18"/>
                <w:color w:val="auto"/>
              </w:rPr>
              <w:t>Net debt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97,008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114,789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106,629</w:t>
            </w:r>
          </w:p>
        </w:tc>
        <w:tc>
          <w:tcPr>
            <w:tcW w:w="0" w:type="dxa"/>
            <w:vAlign w:val="bottom"/>
          </w:tcPr>
          <w:p>
            <w:pPr>
              <w:spacing w:after="0"/>
              <w:rPr>
                <w:sz w:val="1"/>
                <w:szCs w:val="1"/>
                <w:color w:val="auto"/>
              </w:rPr>
            </w:pPr>
          </w:p>
        </w:tc>
      </w:tr>
      <w:tr>
        <w:trPr>
          <w:trHeight w:val="495"/>
        </w:trPr>
        <w:tc>
          <w:tcPr>
            <w:tcW w:w="5800" w:type="dxa"/>
            <w:vAlign w:val="bottom"/>
          </w:tcPr>
          <w:p>
            <w:pPr>
              <w:ind w:left="20"/>
              <w:spacing w:after="0"/>
              <w:rPr>
                <w:sz w:val="20"/>
                <w:szCs w:val="20"/>
                <w:color w:val="auto"/>
              </w:rPr>
            </w:pPr>
            <w:r>
              <w:rPr>
                <w:rFonts w:ascii="Arial" w:cs="Arial" w:eastAsia="Arial" w:hAnsi="Arial"/>
                <w:sz w:val="18"/>
                <w:szCs w:val="18"/>
                <w:color w:val="auto"/>
              </w:rPr>
              <w:t>Trailing Twelve Months Adjusted EBITDA</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100,440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86,403</w:t>
            </w: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leverage ratio</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hanging="172"/>
        <w:spacing w:after="0"/>
        <w:tabs>
          <w:tab w:leader="none" w:pos="20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Company believes net leverage ratio is an important measure because it represents the Company's ability to meet its financial obligations.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8 - Adjusting Items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b w:val="1"/>
                <w:bCs w:val="1"/>
                <w:color w:val="auto"/>
                <w:w w:val="98"/>
              </w:rPr>
              <w:t>Trailing Twelve Months Ended</w:t>
            </w:r>
          </w:p>
        </w:tc>
        <w:tc>
          <w:tcPr>
            <w:tcW w:w="0" w:type="dxa"/>
            <w:vAlign w:val="bottom"/>
          </w:tcPr>
          <w:p>
            <w:pPr>
              <w:spacing w:after="0"/>
              <w:rPr>
                <w:sz w:val="1"/>
                <w:szCs w:val="1"/>
                <w:color w:val="auto"/>
              </w:rPr>
            </w:pPr>
          </w:p>
        </w:tc>
      </w:tr>
      <w:tr>
        <w:trPr>
          <w:trHeight w:val="183"/>
        </w:trPr>
        <w:tc>
          <w:tcPr>
            <w:tcW w:w="5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15"/>
                <w:szCs w:val="15"/>
                <w:color w:val="auto"/>
              </w:rPr>
            </w:pPr>
          </w:p>
        </w:tc>
        <w:tc>
          <w:tcPr>
            <w:tcW w:w="158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5"/>
                <w:szCs w:val="15"/>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June 30, 2026</w:t>
            </w:r>
          </w:p>
        </w:tc>
        <w:tc>
          <w:tcPr>
            <w:tcW w:w="160" w:type="dxa"/>
            <w:vAlign w:val="bottom"/>
          </w:tcPr>
          <w:p>
            <w:pPr>
              <w:spacing w:after="0"/>
              <w:rPr>
                <w:sz w:val="15"/>
                <w:szCs w:val="15"/>
                <w:color w:val="auto"/>
              </w:rPr>
            </w:pPr>
          </w:p>
        </w:tc>
        <w:tc>
          <w:tcPr>
            <w:tcW w:w="148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7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0"/>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33,755</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26,247</w:t>
            </w:r>
          </w:p>
        </w:tc>
        <w:tc>
          <w:tcPr>
            <w:tcW w:w="0" w:type="dxa"/>
            <w:vAlign w:val="bottom"/>
          </w:tcPr>
          <w:p>
            <w:pPr>
              <w:spacing w:after="0"/>
              <w:rPr>
                <w:sz w:val="1"/>
                <w:szCs w:val="1"/>
                <w:color w:val="auto"/>
              </w:rPr>
            </w:pPr>
          </w:p>
        </w:tc>
      </w:tr>
      <w:tr>
        <w:trPr>
          <w:trHeight w:val="245"/>
        </w:trPr>
        <w:tc>
          <w:tcPr>
            <w:tcW w:w="5780" w:type="dxa"/>
            <w:vAlign w:val="bottom"/>
          </w:tcPr>
          <w:p>
            <w:pPr>
              <w:ind w:left="20"/>
              <w:spacing w:after="0" w:line="244" w:lineRule="exact"/>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3"/>
                <w:szCs w:val="23"/>
                <w:b w:val="1"/>
                <w:bCs w:val="1"/>
                <w:color w:val="auto"/>
                <w:vertAlign w:val="superscript"/>
              </w:rPr>
              <w:t>(1)</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93,970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69,249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68,654</w:t>
            </w:r>
          </w:p>
        </w:tc>
        <w:tc>
          <w:tcPr>
            <w:tcW w:w="0" w:type="dxa"/>
            <w:vAlign w:val="bottom"/>
          </w:tcPr>
          <w:p>
            <w:pPr>
              <w:spacing w:after="0"/>
              <w:rPr>
                <w:sz w:val="1"/>
                <w:szCs w:val="1"/>
                <w:color w:val="auto"/>
              </w:rPr>
            </w:pPr>
          </w:p>
        </w:tc>
      </w:tr>
      <w:tr>
        <w:trPr>
          <w:trHeight w:val="239"/>
        </w:trPr>
        <w:tc>
          <w:tcPr>
            <w:tcW w:w="5780" w:type="dxa"/>
            <w:vAlign w:val="bottom"/>
          </w:tcPr>
          <w:p>
            <w:pPr>
              <w:ind w:left="140"/>
              <w:spacing w:after="0"/>
              <w:rPr>
                <w:sz w:val="20"/>
                <w:szCs w:val="20"/>
                <w:color w:val="auto"/>
              </w:rPr>
            </w:pPr>
            <w:r>
              <w:rPr>
                <w:rFonts w:ascii="Arial" w:cs="Arial" w:eastAsia="Arial" w:hAnsi="Arial"/>
                <w:sz w:val="18"/>
                <w:szCs w:val="18"/>
                <w:color w:val="auto"/>
              </w:rPr>
              <w:t>Restructuring and other costs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Transaction expenses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Inventory and other assets impairment adjustments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19,626</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Gain on sale-leaseback transactions</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39"/>
        </w:trPr>
        <w:tc>
          <w:tcPr>
            <w:tcW w:w="5780" w:type="dxa"/>
            <w:vAlign w:val="bottom"/>
          </w:tcPr>
          <w:p>
            <w:pPr>
              <w:ind w:left="140"/>
              <w:spacing w:after="0"/>
              <w:rPr>
                <w:sz w:val="20"/>
                <w:szCs w:val="20"/>
                <w:color w:val="auto"/>
              </w:rPr>
            </w:pPr>
            <w:r>
              <w:rPr>
                <w:rFonts w:ascii="Arial" w:cs="Arial" w:eastAsia="Arial" w:hAnsi="Arial"/>
                <w:sz w:val="18"/>
                <w:szCs w:val="18"/>
                <w:color w:val="auto"/>
              </w:rPr>
              <w:t>Foreign exchange losses (gains) and other, net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line="236"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113,321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100,440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86,403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left="20" w:right="20" w:firstLine="8"/>
        <w:spacing w:after="0" w:line="205" w:lineRule="auto"/>
        <w:tabs>
          <w:tab w:leader="none" w:pos="24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The Company believes EBITDA and adjusted EBITDA are useful to investors because they are appropriate measures of evaluating operating performance and liquidity. These measures reflect the resources available for strategic opportunities including, among others, investing in the business, strengthening the balance sheet, repurchasing securities, and making strategic acquisitions. In addition, EBITDA and adjusted EBITDA are widely used benchmarks in the investment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20"/>
          </w:cols>
          <w:pgMar w:left="480" w:top="939" w:right="49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9 - Revenue Per Rig</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12"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83"/>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40" w:type="dxa"/>
            <w:vAlign w:val="bottom"/>
          </w:tcPr>
          <w:p>
            <w:pPr>
              <w:spacing w:after="0"/>
              <w:rPr>
                <w:sz w:val="15"/>
                <w:szCs w:val="15"/>
                <w:color w:val="auto"/>
              </w:rPr>
            </w:pPr>
          </w:p>
        </w:tc>
        <w:tc>
          <w:tcPr>
            <w:tcW w:w="146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82" w:lineRule="exact"/>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15"/>
                <w:szCs w:val="15"/>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June 30, 2026</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5"/>
                <w:szCs w:val="15"/>
                <w:color w:val="auto"/>
              </w:rPr>
            </w:pPr>
          </w:p>
        </w:tc>
        <w:tc>
          <w:tcPr>
            <w:tcW w:w="146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1"/>
        </w:trPr>
        <w:tc>
          <w:tcPr>
            <w:tcW w:w="242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236,813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196,231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226,217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671,730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589,274</w:t>
            </w:r>
          </w:p>
        </w:tc>
        <w:tc>
          <w:tcPr>
            <w:tcW w:w="0" w:type="dxa"/>
            <w:vAlign w:val="bottom"/>
          </w:tcPr>
          <w:p>
            <w:pPr>
              <w:spacing w:after="0"/>
              <w:rPr>
                <w:sz w:val="1"/>
                <w:szCs w:val="1"/>
                <w:color w:val="auto"/>
              </w:rPr>
            </w:pPr>
          </w:p>
        </w:tc>
      </w:tr>
      <w:tr>
        <w:trPr>
          <w:trHeight w:val="239"/>
        </w:trPr>
        <w:tc>
          <w:tcPr>
            <w:tcW w:w="2420" w:type="dxa"/>
            <w:vAlign w:val="bottom"/>
          </w:tcPr>
          <w:p>
            <w:pPr>
              <w:ind w:left="20"/>
              <w:spacing w:after="0" w:line="239" w:lineRule="exact"/>
              <w:rPr>
                <w:sz w:val="20"/>
                <w:szCs w:val="20"/>
                <w:color w:val="auto"/>
              </w:rPr>
            </w:pPr>
            <w:r>
              <w:rPr>
                <w:rFonts w:ascii="Arial" w:cs="Arial" w:eastAsia="Arial" w:hAnsi="Arial"/>
                <w:sz w:val="18"/>
                <w:szCs w:val="18"/>
                <w:color w:val="auto"/>
              </w:rPr>
              <w:t xml:space="preserve">Average global rig count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Revenue per rig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200" w:right="200" w:hanging="5"/>
        <w:spacing w:after="0" w:line="212" w:lineRule="auto"/>
        <w:tabs>
          <w:tab w:leader="none" w:pos="383"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The table above shows the average number of active drilling rigs operating based on the weekly rig count information published by Baker Hughes Company. In the third quarter of 2025, Baker Hughes implemented a revised methodology for counting rigs, primarily affecting data pertaining to Saudi Arabia.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schedule - Product line revenue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260" w:type="dxa"/>
            <w:vAlign w:val="bottom"/>
          </w:tcPr>
          <w:p>
            <w:pPr>
              <w:spacing w:after="0"/>
              <w:rPr>
                <w:sz w:val="20"/>
                <w:szCs w:val="20"/>
                <w:color w:val="auto"/>
              </w:rPr>
            </w:pPr>
          </w:p>
        </w:tc>
        <w:tc>
          <w:tcPr>
            <w:tcW w:w="2320" w:type="dxa"/>
            <w:vAlign w:val="bottom"/>
            <w:gridSpan w:val="3"/>
          </w:tcPr>
          <w:p>
            <w:pPr>
              <w:ind w:left="140"/>
              <w:spacing w:after="0"/>
              <w:rPr>
                <w:sz w:val="20"/>
                <w:szCs w:val="20"/>
                <w:color w:val="auto"/>
              </w:rPr>
            </w:pPr>
            <w:r>
              <w:rPr>
                <w:rFonts w:ascii="Arial" w:cs="Arial" w:eastAsia="Arial" w:hAnsi="Arial"/>
                <w:sz w:val="18"/>
                <w:szCs w:val="18"/>
                <w:b w:val="1"/>
                <w:bCs w:val="1"/>
                <w:color w:val="auto"/>
              </w:rPr>
              <w:t>September 30, 2026</w:t>
            </w:r>
          </w:p>
        </w:tc>
        <w:tc>
          <w:tcPr>
            <w:tcW w:w="240" w:type="dxa"/>
            <w:vAlign w:val="bottom"/>
          </w:tcPr>
          <w:p>
            <w:pPr>
              <w:spacing w:after="0"/>
              <w:rPr>
                <w:sz w:val="20"/>
                <w:szCs w:val="20"/>
                <w:color w:val="auto"/>
              </w:rPr>
            </w:pPr>
          </w:p>
        </w:tc>
        <w:tc>
          <w:tcPr>
            <w:tcW w:w="2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9"/>
              </w:rPr>
              <w:t>September 30, 2025</w:t>
            </w:r>
          </w:p>
        </w:tc>
        <w:tc>
          <w:tcPr>
            <w:tcW w:w="300" w:type="dxa"/>
            <w:vAlign w:val="bottom"/>
          </w:tcPr>
          <w:p>
            <w:pPr>
              <w:spacing w:after="0"/>
              <w:rPr>
                <w:sz w:val="20"/>
                <w:szCs w:val="20"/>
                <w:color w:val="auto"/>
              </w:rPr>
            </w:pPr>
          </w:p>
        </w:tc>
        <w:tc>
          <w:tcPr>
            <w:tcW w:w="22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June 30, 2026</w:t>
            </w:r>
          </w:p>
        </w:tc>
      </w:tr>
      <w:tr>
        <w:trPr>
          <w:trHeight w:val="236"/>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r>
      <w:tr>
        <w:trPr>
          <w:trHeight w:val="240"/>
        </w:trPr>
        <w:tc>
          <w:tcPr>
            <w:tcW w:w="3540" w:type="dxa"/>
            <w:vAlign w:val="bottom"/>
          </w:tcPr>
          <w:p>
            <w:pPr>
              <w:ind w:left="140"/>
              <w:spacing w:after="0"/>
              <w:rPr>
                <w:sz w:val="20"/>
                <w:szCs w:val="20"/>
                <w:color w:val="auto"/>
              </w:rPr>
            </w:pPr>
            <w:r>
              <w:rPr>
                <w:rFonts w:ascii="Arial" w:cs="Arial" w:eastAsia="Arial" w:hAnsi="Arial"/>
                <w:sz w:val="18"/>
                <w:szCs w:val="18"/>
                <w:color w:val="auto"/>
              </w:rPr>
              <w:t>Drilling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39,232</w:t>
            </w:r>
          </w:p>
        </w:tc>
        <w:tc>
          <w:tcPr>
            <w:tcW w:w="102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32,234</w:t>
            </w:r>
          </w:p>
        </w:tc>
        <w:tc>
          <w:tcPr>
            <w:tcW w:w="1040" w:type="dxa"/>
            <w:vAlign w:val="bottom"/>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35,535</w:t>
            </w:r>
          </w:p>
        </w:tc>
        <w:tc>
          <w:tcPr>
            <w:tcW w:w="1020" w:type="dxa"/>
            <w:vAlign w:val="bottom"/>
          </w:tcPr>
          <w:p>
            <w:pPr>
              <w:jc w:val="right"/>
              <w:spacing w:after="0"/>
              <w:rPr>
                <w:sz w:val="20"/>
                <w:szCs w:val="20"/>
                <w:color w:val="auto"/>
              </w:rPr>
            </w:pPr>
            <w:r>
              <w:rPr>
                <w:rFonts w:ascii="Arial" w:cs="Arial" w:eastAsia="Arial" w:hAnsi="Arial"/>
                <w:sz w:val="18"/>
                <w:szCs w:val="18"/>
                <w:color w:val="auto"/>
              </w:rPr>
              <w:t>15.7 %</w:t>
            </w:r>
          </w:p>
        </w:tc>
      </w:tr>
      <w:tr>
        <w:trPr>
          <w:trHeight w:val="243"/>
        </w:trPr>
        <w:tc>
          <w:tcPr>
            <w:tcW w:w="3540" w:type="dxa"/>
            <w:vAlign w:val="bottom"/>
          </w:tcPr>
          <w:p>
            <w:pPr>
              <w:ind w:left="140"/>
              <w:spacing w:after="0"/>
              <w:rPr>
                <w:sz w:val="20"/>
                <w:szCs w:val="20"/>
                <w:color w:val="auto"/>
              </w:rPr>
            </w:pPr>
            <w:r>
              <w:rPr>
                <w:rFonts w:ascii="Arial" w:cs="Arial" w:eastAsia="Arial" w:hAnsi="Arial"/>
                <w:sz w:val="18"/>
                <w:szCs w:val="18"/>
                <w:color w:val="auto"/>
              </w:rPr>
              <w:t>Subsea</w:t>
            </w:r>
          </w:p>
        </w:tc>
        <w:tc>
          <w:tcPr>
            <w:tcW w:w="260" w:type="dxa"/>
            <w:vAlign w:val="bottom"/>
          </w:tcPr>
          <w:p>
            <w:pPr>
              <w:spacing w:after="0"/>
              <w:rPr>
                <w:sz w:val="21"/>
                <w:szCs w:val="21"/>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34,696</w:t>
            </w:r>
          </w:p>
        </w:tc>
        <w:tc>
          <w:tcPr>
            <w:tcW w:w="1020" w:type="dxa"/>
            <w:vAlign w:val="bottom"/>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23,582</w:t>
            </w:r>
          </w:p>
        </w:tc>
        <w:tc>
          <w:tcPr>
            <w:tcW w:w="104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33,516</w:t>
            </w:r>
          </w:p>
        </w:tc>
        <w:tc>
          <w:tcPr>
            <w:tcW w:w="1020" w:type="dxa"/>
            <w:vAlign w:val="bottom"/>
          </w:tcPr>
          <w:p>
            <w:pPr>
              <w:jc w:val="right"/>
              <w:spacing w:after="0"/>
              <w:rPr>
                <w:sz w:val="20"/>
                <w:szCs w:val="20"/>
                <w:color w:val="auto"/>
              </w:rPr>
            </w:pPr>
            <w:r>
              <w:rPr>
                <w:rFonts w:ascii="Arial" w:cs="Arial" w:eastAsia="Arial" w:hAnsi="Arial"/>
                <w:sz w:val="18"/>
                <w:szCs w:val="18"/>
                <w:color w:val="auto"/>
              </w:rPr>
              <w:t>14.8 %</w:t>
            </w:r>
          </w:p>
        </w:tc>
      </w:tr>
      <w:tr>
        <w:trPr>
          <w:trHeight w:val="243"/>
        </w:trPr>
        <w:tc>
          <w:tcPr>
            <w:tcW w:w="3540" w:type="dxa"/>
            <w:vAlign w:val="bottom"/>
          </w:tcPr>
          <w:p>
            <w:pPr>
              <w:ind w:left="140"/>
              <w:spacing w:after="0"/>
              <w:rPr>
                <w:sz w:val="20"/>
                <w:szCs w:val="20"/>
                <w:color w:val="auto"/>
              </w:rPr>
            </w:pPr>
            <w:r>
              <w:rPr>
                <w:rFonts w:ascii="Arial" w:cs="Arial" w:eastAsia="Arial" w:hAnsi="Arial"/>
                <w:sz w:val="18"/>
                <w:szCs w:val="18"/>
                <w:color w:val="auto"/>
              </w:rPr>
              <w:t>Stimulation and Intervention</w:t>
            </w:r>
          </w:p>
        </w:tc>
        <w:tc>
          <w:tcPr>
            <w:tcW w:w="260" w:type="dxa"/>
            <w:vAlign w:val="bottom"/>
          </w:tcPr>
          <w:p>
            <w:pPr>
              <w:spacing w:after="0"/>
              <w:rPr>
                <w:sz w:val="21"/>
                <w:szCs w:val="21"/>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39,069</w:t>
            </w:r>
          </w:p>
        </w:tc>
        <w:tc>
          <w:tcPr>
            <w:tcW w:w="102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34,271</w:t>
            </w:r>
          </w:p>
        </w:tc>
        <w:tc>
          <w:tcPr>
            <w:tcW w:w="104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38,181</w:t>
            </w:r>
          </w:p>
        </w:tc>
        <w:tc>
          <w:tcPr>
            <w:tcW w:w="1020" w:type="dxa"/>
            <w:vAlign w:val="bottom"/>
          </w:tcPr>
          <w:p>
            <w:pPr>
              <w:jc w:val="right"/>
              <w:spacing w:after="0"/>
              <w:rPr>
                <w:sz w:val="20"/>
                <w:szCs w:val="20"/>
                <w:color w:val="auto"/>
              </w:rPr>
            </w:pPr>
            <w:r>
              <w:rPr>
                <w:rFonts w:ascii="Arial" w:cs="Arial" w:eastAsia="Arial" w:hAnsi="Arial"/>
                <w:sz w:val="18"/>
                <w:szCs w:val="18"/>
                <w:color w:val="auto"/>
              </w:rPr>
              <w:t>16.9 %</w:t>
            </w:r>
          </w:p>
        </w:tc>
      </w:tr>
      <w:tr>
        <w:trPr>
          <w:trHeight w:val="239"/>
        </w:trPr>
        <w:tc>
          <w:tcPr>
            <w:tcW w:w="3540" w:type="dxa"/>
            <w:vAlign w:val="bottom"/>
          </w:tcPr>
          <w:p>
            <w:pPr>
              <w:ind w:left="140"/>
              <w:spacing w:after="0"/>
              <w:rPr>
                <w:sz w:val="20"/>
                <w:szCs w:val="20"/>
                <w:color w:val="auto"/>
              </w:rPr>
            </w:pPr>
            <w:r>
              <w:rPr>
                <w:rFonts w:ascii="Arial" w:cs="Arial" w:eastAsia="Arial" w:hAnsi="Arial"/>
                <w:sz w:val="18"/>
                <w:szCs w:val="18"/>
                <w:color w:val="auto"/>
              </w:rPr>
              <w:t>Coiled Tubing</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34,158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27,382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31,772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14.0 %</w:t>
            </w:r>
          </w:p>
        </w:tc>
      </w:tr>
      <w:tr>
        <w:trPr>
          <w:trHeight w:val="240"/>
        </w:trPr>
        <w:tc>
          <w:tcPr>
            <w:tcW w:w="3540" w:type="dxa"/>
            <w:vAlign w:val="bottom"/>
          </w:tcPr>
          <w:p>
            <w:pPr>
              <w:ind w:left="20"/>
              <w:spacing w:after="0"/>
              <w:rPr>
                <w:sz w:val="20"/>
                <w:szCs w:val="20"/>
                <w:color w:val="auto"/>
              </w:rPr>
            </w:pPr>
            <w:r>
              <w:rPr>
                <w:rFonts w:ascii="Arial" w:cs="Arial" w:eastAsia="Arial" w:hAnsi="Arial"/>
                <w:sz w:val="18"/>
                <w:szCs w:val="18"/>
                <w:color w:val="auto"/>
              </w:rPr>
              <w:t>Drilling and Completions</w:t>
            </w:r>
          </w:p>
        </w:tc>
        <w:tc>
          <w:tcPr>
            <w:tcW w:w="26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147,155</w:t>
            </w:r>
          </w:p>
        </w:tc>
        <w:tc>
          <w:tcPr>
            <w:tcW w:w="1020" w:type="dxa"/>
            <w:vAlign w:val="bottom"/>
          </w:tcPr>
          <w:p>
            <w:pPr>
              <w:jc w:val="right"/>
              <w:spacing w:after="0"/>
              <w:rPr>
                <w:sz w:val="20"/>
                <w:szCs w:val="20"/>
                <w:color w:val="auto"/>
              </w:rPr>
            </w:pPr>
            <w:r>
              <w:rPr>
                <w:rFonts w:ascii="Arial" w:cs="Arial" w:eastAsia="Arial" w:hAnsi="Arial"/>
                <w:sz w:val="18"/>
                <w:szCs w:val="18"/>
                <w:color w:val="auto"/>
              </w:rPr>
              <w:t>62.1 %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117,469</w:t>
            </w:r>
          </w:p>
        </w:tc>
        <w:tc>
          <w:tcPr>
            <w:tcW w:w="1040" w:type="dxa"/>
            <w:vAlign w:val="bottom"/>
          </w:tcPr>
          <w:p>
            <w:pPr>
              <w:jc w:val="right"/>
              <w:spacing w:after="0"/>
              <w:rPr>
                <w:sz w:val="20"/>
                <w:szCs w:val="20"/>
                <w:color w:val="auto"/>
              </w:rPr>
            </w:pPr>
            <w:r>
              <w:rPr>
                <w:rFonts w:ascii="Arial" w:cs="Arial" w:eastAsia="Arial" w:hAnsi="Arial"/>
                <w:sz w:val="18"/>
                <w:szCs w:val="18"/>
                <w:color w:val="auto"/>
              </w:rPr>
              <w:t>59.9 %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139,004</w:t>
            </w:r>
          </w:p>
        </w:tc>
        <w:tc>
          <w:tcPr>
            <w:tcW w:w="1020" w:type="dxa"/>
            <w:vAlign w:val="bottom"/>
          </w:tcPr>
          <w:p>
            <w:pPr>
              <w:jc w:val="right"/>
              <w:spacing w:after="0"/>
              <w:rPr>
                <w:sz w:val="20"/>
                <w:szCs w:val="20"/>
                <w:color w:val="auto"/>
              </w:rPr>
            </w:pPr>
            <w:r>
              <w:rPr>
                <w:rFonts w:ascii="Arial" w:cs="Arial" w:eastAsia="Arial" w:hAnsi="Arial"/>
                <w:sz w:val="18"/>
                <w:szCs w:val="18"/>
                <w:color w:val="auto"/>
              </w:rPr>
              <w:t>61.4 %</w:t>
            </w:r>
          </w:p>
        </w:tc>
      </w:tr>
      <w:tr>
        <w:trPr>
          <w:trHeight w:val="513"/>
        </w:trPr>
        <w:tc>
          <w:tcPr>
            <w:tcW w:w="3540" w:type="dxa"/>
            <w:vAlign w:val="bottom"/>
          </w:tcPr>
          <w:p>
            <w:pPr>
              <w:ind w:left="140"/>
              <w:spacing w:after="0"/>
              <w:rPr>
                <w:sz w:val="20"/>
                <w:szCs w:val="20"/>
                <w:color w:val="auto"/>
              </w:rPr>
            </w:pPr>
            <w:r>
              <w:rPr>
                <w:rFonts w:ascii="Arial" w:cs="Arial" w:eastAsia="Arial" w:hAnsi="Arial"/>
                <w:sz w:val="18"/>
                <w:szCs w:val="18"/>
                <w:color w:val="auto"/>
              </w:rPr>
              <w:t>Downhole</w:t>
            </w:r>
          </w:p>
        </w:tc>
        <w:tc>
          <w:tcPr>
            <w:tcW w:w="260" w:type="dxa"/>
            <w:vAlign w:val="bottom"/>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62,676</w:t>
            </w:r>
          </w:p>
        </w:tc>
        <w:tc>
          <w:tcPr>
            <w:tcW w:w="1020" w:type="dxa"/>
            <w:vAlign w:val="bottom"/>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48,073</w:t>
            </w:r>
          </w:p>
        </w:tc>
        <w:tc>
          <w:tcPr>
            <w:tcW w:w="1040" w:type="dxa"/>
            <w:vAlign w:val="bottom"/>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61,040</w:t>
            </w:r>
          </w:p>
        </w:tc>
        <w:tc>
          <w:tcPr>
            <w:tcW w:w="1020" w:type="dxa"/>
            <w:vAlign w:val="bottom"/>
          </w:tcPr>
          <w:p>
            <w:pPr>
              <w:jc w:val="right"/>
              <w:spacing w:after="0"/>
              <w:rPr>
                <w:sz w:val="20"/>
                <w:szCs w:val="20"/>
                <w:color w:val="auto"/>
              </w:rPr>
            </w:pPr>
            <w:r>
              <w:rPr>
                <w:rFonts w:ascii="Arial" w:cs="Arial" w:eastAsia="Arial" w:hAnsi="Arial"/>
                <w:sz w:val="18"/>
                <w:szCs w:val="18"/>
                <w:color w:val="auto"/>
              </w:rPr>
              <w:t>27.0 %</w:t>
            </w:r>
          </w:p>
        </w:tc>
      </w:tr>
      <w:tr>
        <w:trPr>
          <w:trHeight w:val="243"/>
        </w:trPr>
        <w:tc>
          <w:tcPr>
            <w:tcW w:w="3540" w:type="dxa"/>
            <w:vAlign w:val="bottom"/>
          </w:tcPr>
          <w:p>
            <w:pPr>
              <w:ind w:left="140"/>
              <w:spacing w:after="0"/>
              <w:rPr>
                <w:sz w:val="20"/>
                <w:szCs w:val="20"/>
                <w:color w:val="auto"/>
              </w:rPr>
            </w:pPr>
            <w:r>
              <w:rPr>
                <w:rFonts w:ascii="Arial" w:cs="Arial" w:eastAsia="Arial" w:hAnsi="Arial"/>
                <w:sz w:val="18"/>
                <w:szCs w:val="18"/>
                <w:color w:val="auto"/>
              </w:rPr>
              <w:t>Production Equipment</w:t>
            </w:r>
          </w:p>
        </w:tc>
        <w:tc>
          <w:tcPr>
            <w:tcW w:w="260" w:type="dxa"/>
            <w:vAlign w:val="bottom"/>
          </w:tcPr>
          <w:p>
            <w:pPr>
              <w:spacing w:after="0"/>
              <w:rPr>
                <w:sz w:val="21"/>
                <w:szCs w:val="21"/>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12,835</w:t>
            </w:r>
          </w:p>
        </w:tc>
        <w:tc>
          <w:tcPr>
            <w:tcW w:w="102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18,647</w:t>
            </w:r>
          </w:p>
        </w:tc>
        <w:tc>
          <w:tcPr>
            <w:tcW w:w="104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13,444</w:t>
            </w:r>
          </w:p>
        </w:tc>
        <w:tc>
          <w:tcPr>
            <w:tcW w:w="102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39"/>
        </w:trPr>
        <w:tc>
          <w:tcPr>
            <w:tcW w:w="3540" w:type="dxa"/>
            <w:vAlign w:val="bottom"/>
          </w:tcPr>
          <w:p>
            <w:pPr>
              <w:ind w:left="140"/>
              <w:spacing w:after="0"/>
              <w:rPr>
                <w:sz w:val="20"/>
                <w:szCs w:val="20"/>
                <w:color w:val="auto"/>
              </w:rPr>
            </w:pPr>
            <w:r>
              <w:rPr>
                <w:rFonts w:ascii="Arial" w:cs="Arial" w:eastAsia="Arial" w:hAnsi="Arial"/>
                <w:sz w:val="18"/>
                <w:szCs w:val="18"/>
                <w:color w:val="auto"/>
              </w:rPr>
              <w:t>Valve Solutions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14,379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12,261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12,938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40"/>
        </w:trPr>
        <w:tc>
          <w:tcPr>
            <w:tcW w:w="354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26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89,890</w:t>
            </w:r>
          </w:p>
        </w:tc>
        <w:tc>
          <w:tcPr>
            <w:tcW w:w="1020" w:type="dxa"/>
            <w:vAlign w:val="bottom"/>
          </w:tcPr>
          <w:p>
            <w:pPr>
              <w:jc w:val="right"/>
              <w:spacing w:after="0"/>
              <w:rPr>
                <w:sz w:val="20"/>
                <w:szCs w:val="20"/>
                <w:color w:val="auto"/>
              </w:rPr>
            </w:pPr>
            <w:r>
              <w:rPr>
                <w:rFonts w:ascii="Arial" w:cs="Arial" w:eastAsia="Arial" w:hAnsi="Arial"/>
                <w:sz w:val="18"/>
                <w:szCs w:val="18"/>
                <w:color w:val="auto"/>
              </w:rPr>
              <w:t>38.0 %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78,981</w:t>
            </w:r>
          </w:p>
        </w:tc>
        <w:tc>
          <w:tcPr>
            <w:tcW w:w="1040" w:type="dxa"/>
            <w:vAlign w:val="bottom"/>
          </w:tcPr>
          <w:p>
            <w:pPr>
              <w:jc w:val="right"/>
              <w:spacing w:after="0"/>
              <w:rPr>
                <w:sz w:val="20"/>
                <w:szCs w:val="20"/>
                <w:color w:val="auto"/>
              </w:rPr>
            </w:pPr>
            <w:r>
              <w:rPr>
                <w:rFonts w:ascii="Arial" w:cs="Arial" w:eastAsia="Arial" w:hAnsi="Arial"/>
                <w:sz w:val="18"/>
                <w:szCs w:val="18"/>
                <w:color w:val="auto"/>
              </w:rPr>
              <w:t>40.2 %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87,422</w:t>
            </w:r>
          </w:p>
        </w:tc>
        <w:tc>
          <w:tcPr>
            <w:tcW w:w="1020" w:type="dxa"/>
            <w:vAlign w:val="bottom"/>
          </w:tcPr>
          <w:p>
            <w:pPr>
              <w:jc w:val="right"/>
              <w:spacing w:after="0"/>
              <w:rPr>
                <w:sz w:val="20"/>
                <w:szCs w:val="20"/>
                <w:color w:val="auto"/>
              </w:rPr>
            </w:pPr>
            <w:r>
              <w:rPr>
                <w:rFonts w:ascii="Arial" w:cs="Arial" w:eastAsia="Arial" w:hAnsi="Arial"/>
                <w:sz w:val="18"/>
                <w:szCs w:val="18"/>
                <w:color w:val="auto"/>
              </w:rPr>
              <w:t>38.6 %</w:t>
            </w:r>
          </w:p>
        </w:tc>
      </w:tr>
      <w:tr>
        <w:trPr>
          <w:trHeight w:val="239"/>
        </w:trPr>
        <w:tc>
          <w:tcPr>
            <w:tcW w:w="3540" w:type="dxa"/>
            <w:vAlign w:val="bottom"/>
          </w:tcPr>
          <w:p>
            <w:pPr>
              <w:ind w:left="14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49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236,813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196,231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226,217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sectPr>
      <w:pgSz w:w="11900" w:h="16838" w:orient="portrait"/>
      <w:cols w:equalWidth="0" w:num="1">
        <w:col w:w="11200"/>
      </w:cols>
      <w:pgMar w:left="340" w:top="9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2026-10-29T16:38:30Z</dcterms:created>
  <dcterms:modified xsi:type="dcterms:W3CDTF">2026-10-29T16:38:30Z</dcterms:modified>
</cp:coreProperties>
</file>