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0001634370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55"/>
        <w:gridCol w:w="3950"/>
      </w:tblGrid>
      <w:tr>
        <w:trPr/>
        <w:tc>
          <w:tcPr>
            <w:tcW w:w="6255" w:type="dxa"/>
            <w:tcBorders/>
            <w:vAlign w:val="center"/>
          </w:tcPr>
          <w:p>
            <w:pPr>
              <w:pStyle w:val="TableContents"/>
              <w:bidi w:val="0"/>
              <w:spacing w:before="0" w:after="283"/>
              <w:jc w:val="left"/>
              <w:rPr/>
            </w:pPr>
            <w:r>
              <w:rPr/>
              <w:t>Name of Issuer</w:t>
            </w:r>
          </w:p>
        </w:tc>
        <w:tc>
          <w:tcPr>
            <w:tcW w:w="3950" w:type="dxa"/>
            <w:tcBorders/>
            <w:vAlign w:val="center"/>
          </w:tcPr>
          <w:p>
            <w:pPr>
              <w:pStyle w:val="TableContents"/>
              <w:bidi w:val="0"/>
              <w:spacing w:before="0" w:after="0"/>
              <w:jc w:val="left"/>
              <w:rPr/>
            </w:pPr>
            <w:r>
              <w:rPr/>
              <w:t>Forum Energy Technologies Inc</w:t>
            </w:r>
          </w:p>
        </w:tc>
      </w:tr>
      <w:tr>
        <w:trPr/>
        <w:tc>
          <w:tcPr>
            <w:tcW w:w="6255" w:type="dxa"/>
            <w:tcBorders/>
            <w:vAlign w:val="center"/>
          </w:tcPr>
          <w:p>
            <w:pPr>
              <w:pStyle w:val="TableContents"/>
              <w:bidi w:val="0"/>
              <w:spacing w:before="0" w:after="283"/>
              <w:jc w:val="left"/>
              <w:rPr/>
            </w:pPr>
            <w:r>
              <w:rPr/>
              <w:t>SEC File Number</w:t>
            </w:r>
          </w:p>
        </w:tc>
        <w:tc>
          <w:tcPr>
            <w:tcW w:w="3950" w:type="dxa"/>
            <w:tcBorders/>
            <w:vAlign w:val="center"/>
          </w:tcPr>
          <w:p>
            <w:pPr>
              <w:pStyle w:val="TableContents"/>
              <w:bidi w:val="0"/>
              <w:spacing w:before="0" w:after="283"/>
              <w:jc w:val="left"/>
              <w:rPr>
                <w:sz w:val="4"/>
                <w:szCs w:val="4"/>
              </w:rPr>
            </w:pPr>
            <w:r>
              <w:rPr>
                <w:sz w:val="4"/>
                <w:szCs w:val="4"/>
              </w:rPr>
            </w:r>
          </w:p>
        </w:tc>
      </w:tr>
      <w:tr>
        <w:trPr/>
        <w:tc>
          <w:tcPr>
            <w:tcW w:w="6255" w:type="dxa"/>
            <w:tcBorders/>
            <w:vAlign w:val="center"/>
          </w:tcPr>
          <w:p>
            <w:pPr>
              <w:pStyle w:val="TableContents"/>
              <w:bidi w:val="0"/>
              <w:spacing w:before="0" w:after="283"/>
              <w:jc w:val="left"/>
              <w:rPr/>
            </w:pPr>
            <w:r>
              <w:rPr/>
              <w:t>Address of Issuer</w:t>
            </w:r>
          </w:p>
        </w:tc>
        <w:tc>
          <w:tcPr>
            <w:tcW w:w="3950" w:type="dxa"/>
            <w:tcBorders/>
            <w:vAlign w:val="center"/>
          </w:tcPr>
          <w:p>
            <w:pPr>
              <w:pStyle w:val="TableContents"/>
              <w:bidi w:val="0"/>
              <w:spacing w:before="0" w:after="0"/>
              <w:jc w:val="left"/>
              <w:rPr/>
            </w:pPr>
            <w:r>
              <w:rPr/>
              <w:t>10344 Sam Houston Park Dr #300</w:t>
              <w:br/>
              <w:t>Houston</w:t>
              <w:br/>
              <w:t xml:space="preserve">TEXAS </w:t>
              <w:br/>
              <w:t>77064</w:t>
            </w:r>
          </w:p>
        </w:tc>
      </w:tr>
      <w:tr>
        <w:trPr/>
        <w:tc>
          <w:tcPr>
            <w:tcW w:w="6255" w:type="dxa"/>
            <w:tcBorders/>
            <w:vAlign w:val="center"/>
          </w:tcPr>
          <w:p>
            <w:pPr>
              <w:pStyle w:val="TableContents"/>
              <w:bidi w:val="0"/>
              <w:spacing w:before="0" w:after="283"/>
              <w:jc w:val="left"/>
              <w:rPr/>
            </w:pPr>
            <w:r>
              <w:rPr/>
              <w:t>Phone</w:t>
            </w:r>
          </w:p>
        </w:tc>
        <w:tc>
          <w:tcPr>
            <w:tcW w:w="3950" w:type="dxa"/>
            <w:tcBorders/>
            <w:vAlign w:val="center"/>
          </w:tcPr>
          <w:p>
            <w:pPr>
              <w:pStyle w:val="TableContents"/>
              <w:bidi w:val="0"/>
              <w:spacing w:before="0" w:after="0"/>
              <w:jc w:val="left"/>
              <w:rPr/>
            </w:pPr>
            <w:r>
              <w:rPr/>
              <w:t>281-949-2541</w:t>
            </w:r>
          </w:p>
        </w:tc>
      </w:tr>
      <w:tr>
        <w:trPr/>
        <w:tc>
          <w:tcPr>
            <w:tcW w:w="6255" w:type="dxa"/>
            <w:tcBorders/>
            <w:vAlign w:val="center"/>
          </w:tcPr>
          <w:p>
            <w:pPr>
              <w:pStyle w:val="TableContents"/>
              <w:bidi w:val="0"/>
              <w:spacing w:before="0" w:after="283"/>
              <w:jc w:val="left"/>
              <w:rPr/>
            </w:pPr>
            <w:r>
              <w:rPr/>
              <w:t>Name of Person for Whose Account the Securities are To Be Sold</w:t>
            </w:r>
          </w:p>
        </w:tc>
        <w:tc>
          <w:tcPr>
            <w:tcW w:w="3950" w:type="dxa"/>
            <w:tcBorders/>
            <w:vAlign w:val="center"/>
          </w:tcPr>
          <w:p>
            <w:pPr>
              <w:pStyle w:val="TableContents"/>
              <w:bidi w:val="0"/>
              <w:spacing w:before="0" w:after="0"/>
              <w:jc w:val="left"/>
              <w:rPr/>
            </w:pPr>
            <w:r>
              <w:rPr/>
              <w:t>David Lyle Williams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55" w:type="dxa"/>
            <w:tcBorders/>
            <w:vAlign w:val="center"/>
          </w:tcPr>
          <w:p>
            <w:pPr>
              <w:pStyle w:val="TableContents"/>
              <w:bidi w:val="0"/>
              <w:spacing w:before="0" w:after="283"/>
              <w:jc w:val="left"/>
              <w:rPr/>
            </w:pPr>
            <w:r>
              <w:rPr/>
              <w:t>Relationship to Issuer</w:t>
            </w:r>
          </w:p>
        </w:tc>
        <w:tc>
          <w:tcPr>
            <w:tcW w:w="395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0"/>
        <w:gridCol w:w="1434"/>
        <w:gridCol w:w="1178"/>
        <w:gridCol w:w="1472"/>
        <w:gridCol w:w="1560"/>
        <w:gridCol w:w="1572"/>
        <w:gridCol w:w="1389"/>
      </w:tblGrid>
      <w:tr>
        <w:trPr/>
        <w:tc>
          <w:tcPr>
            <w:tcW w:w="1600" w:type="dxa"/>
            <w:tcBorders/>
            <w:vAlign w:val="center"/>
          </w:tcPr>
          <w:p>
            <w:pPr>
              <w:pStyle w:val="TableHeading"/>
              <w:suppressLineNumbers/>
              <w:bidi w:val="0"/>
              <w:spacing w:before="0" w:after="283"/>
              <w:jc w:val="center"/>
              <w:rPr/>
            </w:pPr>
            <w:r>
              <w:rPr/>
              <w:t>Title of the Class of Securities To Be Sold</w:t>
            </w:r>
          </w:p>
        </w:tc>
        <w:tc>
          <w:tcPr>
            <w:tcW w:w="1434" w:type="dxa"/>
            <w:tcBorders/>
            <w:vAlign w:val="center"/>
          </w:tcPr>
          <w:p>
            <w:pPr>
              <w:pStyle w:val="TableHeading"/>
              <w:suppressLineNumbers/>
              <w:bidi w:val="0"/>
              <w:spacing w:before="0" w:after="283"/>
              <w:jc w:val="center"/>
              <w:rPr/>
            </w:pPr>
            <w:r>
              <w:rPr/>
              <w:t>Name and Address of the Broker</w:t>
            </w:r>
          </w:p>
        </w:tc>
        <w:tc>
          <w:tcPr>
            <w:tcW w:w="1178" w:type="dxa"/>
            <w:tcBorders/>
            <w:vAlign w:val="center"/>
          </w:tcPr>
          <w:p>
            <w:pPr>
              <w:pStyle w:val="TableHeading"/>
              <w:suppressLineNumbers/>
              <w:bidi w:val="0"/>
              <w:spacing w:before="0" w:after="283"/>
              <w:jc w:val="center"/>
              <w:rPr/>
            </w:pPr>
            <w:r>
              <w:rPr/>
              <w:t>Number of Shares or Other Units To Be Sold</w:t>
            </w:r>
          </w:p>
        </w:tc>
        <w:tc>
          <w:tcPr>
            <w:tcW w:w="1472" w:type="dxa"/>
            <w:tcBorders/>
            <w:vAlign w:val="center"/>
          </w:tcPr>
          <w:p>
            <w:pPr>
              <w:pStyle w:val="TableHeading"/>
              <w:suppressLineNumbers/>
              <w:bidi w:val="0"/>
              <w:spacing w:before="0" w:after="283"/>
              <w:jc w:val="center"/>
              <w:rPr/>
            </w:pPr>
            <w:r>
              <w:rPr/>
              <w:t>Aggregate Market Value</w:t>
            </w:r>
          </w:p>
        </w:tc>
        <w:tc>
          <w:tcPr>
            <w:tcW w:w="1560" w:type="dxa"/>
            <w:tcBorders/>
            <w:vAlign w:val="center"/>
          </w:tcPr>
          <w:p>
            <w:pPr>
              <w:pStyle w:val="TableHeading"/>
              <w:suppressLineNumbers/>
              <w:bidi w:val="0"/>
              <w:spacing w:before="0" w:after="283"/>
              <w:jc w:val="center"/>
              <w:rPr/>
            </w:pPr>
            <w:r>
              <w:rPr/>
              <w:t>Number of Shares or Other Units Outstanding</w:t>
            </w:r>
          </w:p>
        </w:tc>
        <w:tc>
          <w:tcPr>
            <w:tcW w:w="1572" w:type="dxa"/>
            <w:tcBorders/>
            <w:vAlign w:val="center"/>
          </w:tcPr>
          <w:p>
            <w:pPr>
              <w:pStyle w:val="TableHeading"/>
              <w:suppressLineNumbers/>
              <w:bidi w:val="0"/>
              <w:spacing w:before="0" w:after="283"/>
              <w:jc w:val="center"/>
              <w:rPr/>
            </w:pPr>
            <w:r>
              <w:rPr/>
              <w:t>Approximate Date of Sale</w:t>
            </w:r>
          </w:p>
        </w:tc>
        <w:tc>
          <w:tcPr>
            <w:tcW w:w="1389" w:type="dxa"/>
            <w:tcBorders/>
            <w:vAlign w:val="center"/>
          </w:tcPr>
          <w:p>
            <w:pPr>
              <w:pStyle w:val="TableHeading"/>
              <w:suppressLineNumbers/>
              <w:bidi w:val="0"/>
              <w:spacing w:before="0" w:after="283"/>
              <w:jc w:val="center"/>
              <w:rPr/>
            </w:pPr>
            <w:r>
              <w:rPr/>
              <w:t>Name the Securities Exchange</w:t>
            </w:r>
          </w:p>
        </w:tc>
      </w:tr>
      <w:tr>
        <w:trPr/>
        <w:tc>
          <w:tcPr>
            <w:tcW w:w="1600" w:type="dxa"/>
            <w:tcBorders/>
            <w:vAlign w:val="center"/>
          </w:tcPr>
          <w:p>
            <w:pPr>
              <w:pStyle w:val="TableContents"/>
              <w:bidi w:val="0"/>
              <w:spacing w:before="0" w:after="283"/>
              <w:jc w:val="left"/>
              <w:rPr/>
            </w:pPr>
            <w:r>
              <w:rPr/>
              <w:t>Common Stock</w:t>
            </w:r>
          </w:p>
        </w:tc>
        <w:tc>
          <w:tcPr>
            <w:tcW w:w="1434" w:type="dxa"/>
            <w:tcBorders/>
            <w:vAlign w:val="center"/>
          </w:tcPr>
          <w:p>
            <w:pPr>
              <w:pStyle w:val="TableContents"/>
              <w:bidi w:val="0"/>
              <w:spacing w:before="0" w:after="0"/>
              <w:jc w:val="left"/>
              <w:rPr/>
            </w:pPr>
            <w:r>
              <w:rPr/>
              <w:t>Merrill Lynch</w:t>
              <w:br/>
              <w:t>800 Capitol Street</w:t>
              <w:br/>
              <w:t>Suite 1900</w:t>
              <w:br/>
              <w:t>Houston   TX   77002</w:t>
            </w:r>
          </w:p>
        </w:tc>
        <w:tc>
          <w:tcPr>
            <w:tcW w:w="1178" w:type="dxa"/>
            <w:tcBorders/>
            <w:vAlign w:val="center"/>
          </w:tcPr>
          <w:p>
            <w:pPr>
              <w:pStyle w:val="TableContents"/>
              <w:bidi w:val="0"/>
              <w:spacing w:before="0" w:after="283"/>
              <w:jc w:val="left"/>
              <w:rPr/>
            </w:pPr>
            <w:r>
              <w:rPr/>
              <w:t>20068</w:t>
            </w:r>
          </w:p>
        </w:tc>
        <w:tc>
          <w:tcPr>
            <w:tcW w:w="1472" w:type="dxa"/>
            <w:tcBorders/>
            <w:vAlign w:val="center"/>
          </w:tcPr>
          <w:p>
            <w:pPr>
              <w:pStyle w:val="TableContents"/>
              <w:bidi w:val="0"/>
              <w:spacing w:before="0" w:after="283"/>
              <w:jc w:val="left"/>
              <w:rPr/>
            </w:pPr>
            <w:r>
              <w:rPr/>
              <w:t>1566892.97</w:t>
            </w:r>
          </w:p>
        </w:tc>
        <w:tc>
          <w:tcPr>
            <w:tcW w:w="1560" w:type="dxa"/>
            <w:tcBorders/>
            <w:vAlign w:val="center"/>
          </w:tcPr>
          <w:p>
            <w:pPr>
              <w:pStyle w:val="TableContents"/>
              <w:bidi w:val="0"/>
              <w:spacing w:before="0" w:after="283"/>
              <w:jc w:val="left"/>
              <w:rPr/>
            </w:pPr>
            <w:r>
              <w:rPr/>
              <w:t>11246295</w:t>
            </w:r>
          </w:p>
        </w:tc>
        <w:tc>
          <w:tcPr>
            <w:tcW w:w="1572" w:type="dxa"/>
            <w:tcBorders/>
            <w:vAlign w:val="center"/>
          </w:tcPr>
          <w:p>
            <w:pPr>
              <w:pStyle w:val="TableContents"/>
              <w:bidi w:val="0"/>
              <w:spacing w:before="0" w:after="283"/>
              <w:jc w:val="left"/>
              <w:rPr/>
            </w:pPr>
            <w:r>
              <w:rPr/>
              <w:t>08/20/2026</w:t>
            </w:r>
          </w:p>
        </w:tc>
        <w:tc>
          <w:tcPr>
            <w:tcW w:w="138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33"/>
        <w:gridCol w:w="1078"/>
        <w:gridCol w:w="1365"/>
        <w:gridCol w:w="1465"/>
        <w:gridCol w:w="502"/>
        <w:gridCol w:w="1078"/>
        <w:gridCol w:w="1102"/>
        <w:gridCol w:w="1018"/>
        <w:gridCol w:w="1564"/>
      </w:tblGrid>
      <w:tr>
        <w:trPr/>
        <w:tc>
          <w:tcPr>
            <w:tcW w:w="1033" w:type="dxa"/>
            <w:tcBorders/>
            <w:vAlign w:val="center"/>
          </w:tcPr>
          <w:p>
            <w:pPr>
              <w:pStyle w:val="TableHeading"/>
              <w:suppressLineNumbers/>
              <w:bidi w:val="0"/>
              <w:spacing w:before="0" w:after="283"/>
              <w:jc w:val="center"/>
              <w:rPr/>
            </w:pPr>
            <w:r>
              <w:rPr/>
              <w:t>Title of the Class</w:t>
            </w:r>
          </w:p>
        </w:tc>
        <w:tc>
          <w:tcPr>
            <w:tcW w:w="1078" w:type="dxa"/>
            <w:tcBorders/>
            <w:vAlign w:val="center"/>
          </w:tcPr>
          <w:p>
            <w:pPr>
              <w:pStyle w:val="TableHeading"/>
              <w:suppressLineNumbers/>
              <w:bidi w:val="0"/>
              <w:spacing w:before="0" w:after="283"/>
              <w:jc w:val="center"/>
              <w:rPr/>
            </w:pPr>
            <w:r>
              <w:rPr/>
              <w:t>Date you Acquired</w:t>
            </w:r>
          </w:p>
        </w:tc>
        <w:tc>
          <w:tcPr>
            <w:tcW w:w="1365" w:type="dxa"/>
            <w:tcBorders/>
            <w:vAlign w:val="center"/>
          </w:tcPr>
          <w:p>
            <w:pPr>
              <w:pStyle w:val="TableHeading"/>
              <w:suppressLineNumbers/>
              <w:bidi w:val="0"/>
              <w:spacing w:before="0" w:after="283"/>
              <w:jc w:val="center"/>
              <w:rPr/>
            </w:pPr>
            <w:r>
              <w:rPr/>
              <w:t>Nature of Acquisition Transaction</w:t>
            </w:r>
          </w:p>
        </w:tc>
        <w:tc>
          <w:tcPr>
            <w:tcW w:w="1465" w:type="dxa"/>
            <w:tcBorders/>
            <w:vAlign w:val="center"/>
          </w:tcPr>
          <w:p>
            <w:pPr>
              <w:pStyle w:val="TableHeading"/>
              <w:suppressLineNumbers/>
              <w:bidi w:val="0"/>
              <w:spacing w:before="0" w:after="283"/>
              <w:jc w:val="center"/>
              <w:rPr/>
            </w:pPr>
            <w:r>
              <w:rPr/>
              <w:t>Name of Person from Whom Acquired</w:t>
            </w:r>
          </w:p>
        </w:tc>
        <w:tc>
          <w:tcPr>
            <w:tcW w:w="502" w:type="dxa"/>
            <w:tcBorders/>
            <w:vAlign w:val="center"/>
          </w:tcPr>
          <w:p>
            <w:pPr>
              <w:pStyle w:val="TableHeading"/>
              <w:suppressLineNumbers/>
              <w:bidi w:val="0"/>
              <w:spacing w:before="0" w:after="283"/>
              <w:jc w:val="center"/>
              <w:rPr/>
            </w:pPr>
            <w:r>
              <w:rPr/>
              <w:t>Is this a Gift?</w:t>
            </w:r>
          </w:p>
        </w:tc>
        <w:tc>
          <w:tcPr>
            <w:tcW w:w="1078" w:type="dxa"/>
            <w:tcBorders/>
            <w:vAlign w:val="center"/>
          </w:tcPr>
          <w:p>
            <w:pPr>
              <w:pStyle w:val="TableHeading"/>
              <w:suppressLineNumbers/>
              <w:bidi w:val="0"/>
              <w:spacing w:before="0" w:after="283"/>
              <w:jc w:val="center"/>
              <w:rPr/>
            </w:pPr>
            <w:r>
              <w:rPr/>
              <w:t>Date Donor Acquired</w:t>
            </w:r>
          </w:p>
        </w:tc>
        <w:tc>
          <w:tcPr>
            <w:tcW w:w="1102" w:type="dxa"/>
            <w:tcBorders/>
            <w:vAlign w:val="center"/>
          </w:tcPr>
          <w:p>
            <w:pPr>
              <w:pStyle w:val="TableHeading"/>
              <w:suppressLineNumbers/>
              <w:bidi w:val="0"/>
              <w:spacing w:before="0" w:after="283"/>
              <w:jc w:val="center"/>
              <w:rPr/>
            </w:pPr>
            <w:r>
              <w:rPr/>
              <w:t>Amount of Securities Acquired</w:t>
            </w:r>
          </w:p>
        </w:tc>
        <w:tc>
          <w:tcPr>
            <w:tcW w:w="1018" w:type="dxa"/>
            <w:tcBorders/>
            <w:vAlign w:val="center"/>
          </w:tcPr>
          <w:p>
            <w:pPr>
              <w:pStyle w:val="TableHeading"/>
              <w:suppressLineNumbers/>
              <w:bidi w:val="0"/>
              <w:spacing w:before="0" w:after="283"/>
              <w:jc w:val="center"/>
              <w:rPr/>
            </w:pPr>
            <w:r>
              <w:rPr/>
              <w:t>Date of Payment</w:t>
            </w:r>
          </w:p>
        </w:tc>
        <w:tc>
          <w:tcPr>
            <w:tcW w:w="156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33" w:type="dxa"/>
            <w:tcBorders/>
            <w:vAlign w:val="center"/>
          </w:tcPr>
          <w:p>
            <w:pPr>
              <w:pStyle w:val="TableContents"/>
              <w:bidi w:val="0"/>
              <w:spacing w:before="0" w:after="283"/>
              <w:jc w:val="left"/>
              <w:rPr/>
            </w:pPr>
            <w:r>
              <w:rPr/>
              <w:t>Common Stock</w:t>
            </w:r>
          </w:p>
        </w:tc>
        <w:tc>
          <w:tcPr>
            <w:tcW w:w="1078" w:type="dxa"/>
            <w:tcBorders/>
            <w:vAlign w:val="center"/>
          </w:tcPr>
          <w:p>
            <w:pPr>
              <w:pStyle w:val="TableContents"/>
              <w:bidi w:val="0"/>
              <w:spacing w:before="0" w:after="283"/>
              <w:jc w:val="left"/>
              <w:rPr/>
            </w:pPr>
            <w:r>
              <w:rPr/>
              <w:t>02/28/2013</w:t>
            </w:r>
          </w:p>
        </w:tc>
        <w:tc>
          <w:tcPr>
            <w:tcW w:w="1365" w:type="dxa"/>
            <w:tcBorders/>
            <w:vAlign w:val="center"/>
          </w:tcPr>
          <w:p>
            <w:pPr>
              <w:pStyle w:val="TableContents"/>
              <w:bidi w:val="0"/>
              <w:spacing w:before="0" w:after="283"/>
              <w:jc w:val="left"/>
              <w:rPr/>
            </w:pPr>
            <w:r>
              <w:rPr/>
              <w:t>Stock Bonus</w:t>
            </w:r>
          </w:p>
        </w:tc>
        <w:tc>
          <w:tcPr>
            <w:tcW w:w="1465" w:type="dxa"/>
            <w:tcBorders/>
            <w:vAlign w:val="center"/>
          </w:tcPr>
          <w:p>
            <w:pPr>
              <w:pStyle w:val="TableContents"/>
              <w:bidi w:val="0"/>
              <w:spacing w:before="0" w:after="283"/>
              <w:jc w:val="left"/>
              <w:rPr/>
            </w:pPr>
            <w:r>
              <w:rPr/>
              <w:t>Forum Energy Technologies, Inc.</w:t>
            </w:r>
          </w:p>
        </w:tc>
        <w:tc>
          <w:tcPr>
            <w:tcW w:w="50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7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pPr>
            <w:r>
              <w:rPr/>
              <w:t>53</w:t>
            </w:r>
          </w:p>
        </w:tc>
        <w:tc>
          <w:tcPr>
            <w:tcW w:w="1018" w:type="dxa"/>
            <w:tcBorders/>
            <w:vAlign w:val="center"/>
          </w:tcPr>
          <w:p>
            <w:pPr>
              <w:pStyle w:val="TableContents"/>
              <w:bidi w:val="0"/>
              <w:spacing w:before="0" w:after="283"/>
              <w:jc w:val="left"/>
              <w:rPr/>
            </w:pPr>
            <w:r>
              <w:rPr/>
              <w:t>02/28/2013</w:t>
            </w:r>
          </w:p>
        </w:tc>
        <w:tc>
          <w:tcPr>
            <w:tcW w:w="1564" w:type="dxa"/>
            <w:tcBorders/>
            <w:vAlign w:val="center"/>
          </w:tcPr>
          <w:p>
            <w:pPr>
              <w:pStyle w:val="TableContents"/>
              <w:bidi w:val="0"/>
              <w:spacing w:before="0" w:after="283"/>
              <w:jc w:val="left"/>
              <w:rPr/>
            </w:pPr>
            <w:r>
              <w:rPr/>
              <w:t>Compensatory Payment</w:t>
            </w:r>
          </w:p>
        </w:tc>
      </w:tr>
      <w:tr>
        <w:trPr/>
        <w:tc>
          <w:tcPr>
            <w:tcW w:w="1033" w:type="dxa"/>
            <w:tcBorders/>
            <w:vAlign w:val="center"/>
          </w:tcPr>
          <w:p>
            <w:pPr>
              <w:pStyle w:val="TableContents"/>
              <w:bidi w:val="0"/>
              <w:spacing w:before="0" w:after="283"/>
              <w:jc w:val="left"/>
              <w:rPr/>
            </w:pPr>
            <w:r>
              <w:rPr/>
              <w:t>Common Stock</w:t>
            </w:r>
          </w:p>
        </w:tc>
        <w:tc>
          <w:tcPr>
            <w:tcW w:w="1078" w:type="dxa"/>
            <w:tcBorders/>
            <w:vAlign w:val="center"/>
          </w:tcPr>
          <w:p>
            <w:pPr>
              <w:pStyle w:val="TableContents"/>
              <w:bidi w:val="0"/>
              <w:spacing w:before="0" w:after="283"/>
              <w:jc w:val="left"/>
              <w:rPr/>
            </w:pPr>
            <w:r>
              <w:rPr/>
              <w:t>04/12/2013</w:t>
            </w:r>
          </w:p>
        </w:tc>
        <w:tc>
          <w:tcPr>
            <w:tcW w:w="1365" w:type="dxa"/>
            <w:tcBorders/>
            <w:vAlign w:val="center"/>
          </w:tcPr>
          <w:p>
            <w:pPr>
              <w:pStyle w:val="TableContents"/>
              <w:bidi w:val="0"/>
              <w:spacing w:before="0" w:after="283"/>
              <w:jc w:val="left"/>
              <w:rPr/>
            </w:pPr>
            <w:r>
              <w:rPr/>
              <w:t>Stock Bonus</w:t>
            </w:r>
          </w:p>
        </w:tc>
        <w:tc>
          <w:tcPr>
            <w:tcW w:w="1465" w:type="dxa"/>
            <w:tcBorders/>
            <w:vAlign w:val="center"/>
          </w:tcPr>
          <w:p>
            <w:pPr>
              <w:pStyle w:val="TableContents"/>
              <w:bidi w:val="0"/>
              <w:spacing w:before="0" w:after="283"/>
              <w:jc w:val="left"/>
              <w:rPr/>
            </w:pPr>
            <w:r>
              <w:rPr/>
              <w:t>Forum Energy Technologies, Inc.</w:t>
            </w:r>
          </w:p>
        </w:tc>
        <w:tc>
          <w:tcPr>
            <w:tcW w:w="50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7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pPr>
            <w:r>
              <w:rPr/>
              <w:t>134</w:t>
            </w:r>
          </w:p>
        </w:tc>
        <w:tc>
          <w:tcPr>
            <w:tcW w:w="1018" w:type="dxa"/>
            <w:tcBorders/>
            <w:vAlign w:val="center"/>
          </w:tcPr>
          <w:p>
            <w:pPr>
              <w:pStyle w:val="TableContents"/>
              <w:bidi w:val="0"/>
              <w:spacing w:before="0" w:after="283"/>
              <w:jc w:val="left"/>
              <w:rPr/>
            </w:pPr>
            <w:r>
              <w:rPr/>
              <w:t>04/12/2013</w:t>
            </w:r>
          </w:p>
        </w:tc>
        <w:tc>
          <w:tcPr>
            <w:tcW w:w="1564" w:type="dxa"/>
            <w:tcBorders/>
            <w:vAlign w:val="center"/>
          </w:tcPr>
          <w:p>
            <w:pPr>
              <w:pStyle w:val="TableContents"/>
              <w:bidi w:val="0"/>
              <w:spacing w:before="0" w:after="283"/>
              <w:jc w:val="left"/>
              <w:rPr/>
            </w:pPr>
            <w:r>
              <w:rPr/>
              <w:t>Compensatory Payment</w:t>
            </w:r>
          </w:p>
        </w:tc>
      </w:tr>
      <w:tr>
        <w:trPr/>
        <w:tc>
          <w:tcPr>
            <w:tcW w:w="1033" w:type="dxa"/>
            <w:tcBorders/>
            <w:vAlign w:val="center"/>
          </w:tcPr>
          <w:p>
            <w:pPr>
              <w:pStyle w:val="TableContents"/>
              <w:bidi w:val="0"/>
              <w:spacing w:before="0" w:after="283"/>
              <w:jc w:val="left"/>
              <w:rPr/>
            </w:pPr>
            <w:r>
              <w:rPr/>
              <w:t>Common Stock</w:t>
            </w:r>
          </w:p>
        </w:tc>
        <w:tc>
          <w:tcPr>
            <w:tcW w:w="1078" w:type="dxa"/>
            <w:tcBorders/>
            <w:vAlign w:val="center"/>
          </w:tcPr>
          <w:p>
            <w:pPr>
              <w:pStyle w:val="TableContents"/>
              <w:bidi w:val="0"/>
              <w:spacing w:before="0" w:after="283"/>
              <w:jc w:val="left"/>
              <w:rPr/>
            </w:pPr>
            <w:r>
              <w:rPr/>
              <w:t>02/28/2014</w:t>
            </w:r>
          </w:p>
        </w:tc>
        <w:tc>
          <w:tcPr>
            <w:tcW w:w="1365" w:type="dxa"/>
            <w:tcBorders/>
            <w:vAlign w:val="center"/>
          </w:tcPr>
          <w:p>
            <w:pPr>
              <w:pStyle w:val="TableContents"/>
              <w:bidi w:val="0"/>
              <w:spacing w:before="0" w:after="283"/>
              <w:jc w:val="left"/>
              <w:rPr/>
            </w:pPr>
            <w:r>
              <w:rPr/>
              <w:t>Stock Bonus</w:t>
            </w:r>
          </w:p>
        </w:tc>
        <w:tc>
          <w:tcPr>
            <w:tcW w:w="1465" w:type="dxa"/>
            <w:tcBorders/>
            <w:vAlign w:val="center"/>
          </w:tcPr>
          <w:p>
            <w:pPr>
              <w:pStyle w:val="TableContents"/>
              <w:bidi w:val="0"/>
              <w:spacing w:before="0" w:after="283"/>
              <w:jc w:val="left"/>
              <w:rPr/>
            </w:pPr>
            <w:r>
              <w:rPr/>
              <w:t>Forum Energy Technologies, Inc.</w:t>
            </w:r>
          </w:p>
        </w:tc>
        <w:tc>
          <w:tcPr>
            <w:tcW w:w="50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7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pPr>
            <w:r>
              <w:rPr/>
              <w:t>53</w:t>
            </w:r>
          </w:p>
        </w:tc>
        <w:tc>
          <w:tcPr>
            <w:tcW w:w="1018" w:type="dxa"/>
            <w:tcBorders/>
            <w:vAlign w:val="center"/>
          </w:tcPr>
          <w:p>
            <w:pPr>
              <w:pStyle w:val="TableContents"/>
              <w:bidi w:val="0"/>
              <w:spacing w:before="0" w:after="283"/>
              <w:jc w:val="left"/>
              <w:rPr/>
            </w:pPr>
            <w:r>
              <w:rPr/>
              <w:t>02/28/2014</w:t>
            </w:r>
          </w:p>
        </w:tc>
        <w:tc>
          <w:tcPr>
            <w:tcW w:w="1564" w:type="dxa"/>
            <w:tcBorders/>
            <w:vAlign w:val="center"/>
          </w:tcPr>
          <w:p>
            <w:pPr>
              <w:pStyle w:val="TableContents"/>
              <w:bidi w:val="0"/>
              <w:spacing w:before="0" w:after="283"/>
              <w:jc w:val="left"/>
              <w:rPr/>
            </w:pPr>
            <w:r>
              <w:rPr/>
              <w:t>Compensatory Payment</w:t>
            </w:r>
          </w:p>
        </w:tc>
      </w:tr>
      <w:tr>
        <w:trPr/>
        <w:tc>
          <w:tcPr>
            <w:tcW w:w="1033" w:type="dxa"/>
            <w:tcBorders/>
            <w:vAlign w:val="center"/>
          </w:tcPr>
          <w:p>
            <w:pPr>
              <w:pStyle w:val="TableContents"/>
              <w:bidi w:val="0"/>
              <w:spacing w:before="0" w:after="283"/>
              <w:jc w:val="left"/>
              <w:rPr/>
            </w:pPr>
            <w:r>
              <w:rPr/>
              <w:t>Common Stock</w:t>
            </w:r>
          </w:p>
        </w:tc>
        <w:tc>
          <w:tcPr>
            <w:tcW w:w="1078" w:type="dxa"/>
            <w:tcBorders/>
            <w:vAlign w:val="center"/>
          </w:tcPr>
          <w:p>
            <w:pPr>
              <w:pStyle w:val="TableContents"/>
              <w:bidi w:val="0"/>
              <w:spacing w:before="0" w:after="283"/>
              <w:jc w:val="left"/>
              <w:rPr/>
            </w:pPr>
            <w:r>
              <w:rPr/>
              <w:t>03/04/2014</w:t>
            </w:r>
          </w:p>
        </w:tc>
        <w:tc>
          <w:tcPr>
            <w:tcW w:w="1365" w:type="dxa"/>
            <w:tcBorders/>
            <w:vAlign w:val="center"/>
          </w:tcPr>
          <w:p>
            <w:pPr>
              <w:pStyle w:val="TableContents"/>
              <w:bidi w:val="0"/>
              <w:spacing w:before="0" w:after="283"/>
              <w:jc w:val="left"/>
              <w:rPr/>
            </w:pPr>
            <w:r>
              <w:rPr/>
              <w:t>Stock Bonus</w:t>
            </w:r>
          </w:p>
        </w:tc>
        <w:tc>
          <w:tcPr>
            <w:tcW w:w="1465" w:type="dxa"/>
            <w:tcBorders/>
            <w:vAlign w:val="center"/>
          </w:tcPr>
          <w:p>
            <w:pPr>
              <w:pStyle w:val="TableContents"/>
              <w:bidi w:val="0"/>
              <w:spacing w:before="0" w:after="283"/>
              <w:jc w:val="left"/>
              <w:rPr/>
            </w:pPr>
            <w:r>
              <w:rPr/>
              <w:t>Forum Energy Technologies, Inc.</w:t>
            </w:r>
          </w:p>
        </w:tc>
        <w:tc>
          <w:tcPr>
            <w:tcW w:w="502"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7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pPr>
            <w:r>
              <w:rPr/>
              <w:t>42</w:t>
            </w:r>
          </w:p>
        </w:tc>
        <w:tc>
          <w:tcPr>
            <w:tcW w:w="1018" w:type="dxa"/>
            <w:tcBorders/>
            <w:vAlign w:val="center"/>
          </w:tcPr>
          <w:p>
            <w:pPr>
              <w:pStyle w:val="TableContents"/>
              <w:bidi w:val="0"/>
              <w:spacing w:before="0" w:after="283"/>
              <w:jc w:val="left"/>
              <w:rPr/>
            </w:pPr>
            <w:r>
              <w:rPr/>
              <w:t>03/04/2014</w:t>
            </w:r>
          </w:p>
        </w:tc>
        <w:tc>
          <w:tcPr>
            <w:tcW w:w="1564" w:type="dxa"/>
            <w:tcBorders/>
            <w:vAlign w:val="center"/>
          </w:tcPr>
          <w:p>
            <w:pPr>
              <w:pStyle w:val="TableContents"/>
              <w:bidi w:val="0"/>
              <w:spacing w:before="0" w:after="283"/>
              <w:jc w:val="left"/>
              <w:rPr/>
            </w:pPr>
            <w:r>
              <w:rPr/>
              <w:t>Compensatory Payment</w:t>
            </w:r>
          </w:p>
        </w:tc>
      </w:tr>
      <w:tr>
        <w:trPr/>
        <w:tc>
          <w:tcPr>
            <w:tcW w:w="1033" w:type="dxa"/>
            <w:tcBorders/>
            <w:vAlign w:val="center"/>
          </w:tcPr>
          <w:p>
            <w:pPr>
              <w:pStyle w:val="TableContents"/>
              <w:bidi w:val="0"/>
              <w:spacing w:before="0" w:after="283"/>
              <w:jc w:val="left"/>
              <w:rPr/>
            </w:pPr>
            <w:r>
              <w:rPr/>
              <w:t>Common Stock</w:t>
            </w:r>
          </w:p>
        </w:tc>
        <w:tc>
          <w:tcPr>
            <w:tcW w:w="1078" w:type="dxa"/>
            <w:tcBorders/>
            <w:vAlign w:val="center"/>
          </w:tcPr>
          <w:p>
            <w:pPr>
              <w:pStyle w:val="TableContents"/>
              <w:bidi w:val="0"/>
              <w:spacing w:before="0" w:after="283"/>
              <w:jc w:val="left"/>
              <w:rPr/>
            </w:pPr>
            <w:r>
              <w:rPr/>
              <w:t>04/12/2014</w:t>
            </w:r>
          </w:p>
        </w:tc>
        <w:tc>
          <w:tcPr>
            <w:tcW w:w="1365" w:type="dxa"/>
            <w:tcBorders/>
            <w:vAlign w:val="center"/>
          </w:tcPr>
          <w:p>
            <w:pPr>
              <w:pStyle w:val="TableContents"/>
              <w:bidi w:val="0"/>
              <w:spacing w:before="0" w:after="283"/>
              <w:jc w:val="left"/>
              <w:rPr/>
            </w:pPr>
            <w:r>
              <w:rPr/>
              <w:t>Stock Bonus</w:t>
            </w:r>
          </w:p>
        </w:tc>
        <w:tc>
          <w:tcPr>
            <w:tcW w:w="1465" w:type="dxa"/>
            <w:tcBorders/>
            <w:vAlign w:val="center"/>
          </w:tcPr>
          <w:p>
            <w:pPr>
              <w:pStyle w:val="TableContents"/>
              <w:bidi w:val="0"/>
              <w:spacing w:before="0" w:after="283"/>
              <w:jc w:val="left"/>
              <w:rPr/>
            </w:pPr>
            <w:r>
              <w:rPr/>
              <w:t>Forum Energy Technologies, Inc.</w:t>
            </w:r>
          </w:p>
        </w:tc>
        <w:tc>
          <w:tcPr>
            <w:tcW w:w="502"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7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pPr>
            <w:r>
              <w:rPr/>
              <w:t>99</w:t>
            </w:r>
          </w:p>
        </w:tc>
        <w:tc>
          <w:tcPr>
            <w:tcW w:w="1018" w:type="dxa"/>
            <w:tcBorders/>
            <w:vAlign w:val="center"/>
          </w:tcPr>
          <w:p>
            <w:pPr>
              <w:pStyle w:val="TableContents"/>
              <w:bidi w:val="0"/>
              <w:spacing w:before="0" w:after="283"/>
              <w:jc w:val="left"/>
              <w:rPr/>
            </w:pPr>
            <w:r>
              <w:rPr/>
              <w:t>04/12/2014</w:t>
            </w:r>
          </w:p>
        </w:tc>
        <w:tc>
          <w:tcPr>
            <w:tcW w:w="1564" w:type="dxa"/>
            <w:tcBorders/>
            <w:vAlign w:val="center"/>
          </w:tcPr>
          <w:p>
            <w:pPr>
              <w:pStyle w:val="TableContents"/>
              <w:bidi w:val="0"/>
              <w:spacing w:before="0" w:after="283"/>
              <w:jc w:val="left"/>
              <w:rPr/>
            </w:pPr>
            <w:r>
              <w:rPr/>
              <w:t>Compensatory Payment</w:t>
            </w:r>
          </w:p>
        </w:tc>
      </w:tr>
      <w:tr>
        <w:trPr/>
        <w:tc>
          <w:tcPr>
            <w:tcW w:w="1033" w:type="dxa"/>
            <w:tcBorders/>
            <w:vAlign w:val="center"/>
          </w:tcPr>
          <w:p>
            <w:pPr>
              <w:pStyle w:val="TableContents"/>
              <w:bidi w:val="0"/>
              <w:spacing w:before="0" w:after="283"/>
              <w:jc w:val="left"/>
              <w:rPr/>
            </w:pPr>
            <w:r>
              <w:rPr/>
              <w:t>Common Stock</w:t>
            </w:r>
          </w:p>
        </w:tc>
        <w:tc>
          <w:tcPr>
            <w:tcW w:w="1078" w:type="dxa"/>
            <w:tcBorders/>
            <w:vAlign w:val="center"/>
          </w:tcPr>
          <w:p>
            <w:pPr>
              <w:pStyle w:val="TableContents"/>
              <w:bidi w:val="0"/>
              <w:spacing w:before="0" w:after="283"/>
              <w:jc w:val="left"/>
              <w:rPr/>
            </w:pPr>
            <w:r>
              <w:rPr/>
              <w:t>02/28/2015</w:t>
            </w:r>
          </w:p>
        </w:tc>
        <w:tc>
          <w:tcPr>
            <w:tcW w:w="1365" w:type="dxa"/>
            <w:tcBorders/>
            <w:vAlign w:val="center"/>
          </w:tcPr>
          <w:p>
            <w:pPr>
              <w:pStyle w:val="TableContents"/>
              <w:bidi w:val="0"/>
              <w:spacing w:before="0" w:after="283"/>
              <w:jc w:val="left"/>
              <w:rPr/>
            </w:pPr>
            <w:r>
              <w:rPr/>
              <w:t>Stock Bonus</w:t>
            </w:r>
          </w:p>
        </w:tc>
        <w:tc>
          <w:tcPr>
            <w:tcW w:w="1465" w:type="dxa"/>
            <w:tcBorders/>
            <w:vAlign w:val="center"/>
          </w:tcPr>
          <w:p>
            <w:pPr>
              <w:pStyle w:val="TableContents"/>
              <w:bidi w:val="0"/>
              <w:spacing w:before="0" w:after="283"/>
              <w:jc w:val="left"/>
              <w:rPr/>
            </w:pPr>
            <w:r>
              <w:rPr/>
              <w:t>Forum Energy Technologies, Inc.</w:t>
            </w:r>
          </w:p>
        </w:tc>
        <w:tc>
          <w:tcPr>
            <w:tcW w:w="502"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07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pPr>
            <w:r>
              <w:rPr/>
              <w:t>53</w:t>
            </w:r>
          </w:p>
        </w:tc>
        <w:tc>
          <w:tcPr>
            <w:tcW w:w="1018" w:type="dxa"/>
            <w:tcBorders/>
            <w:vAlign w:val="center"/>
          </w:tcPr>
          <w:p>
            <w:pPr>
              <w:pStyle w:val="TableContents"/>
              <w:bidi w:val="0"/>
              <w:spacing w:before="0" w:after="283"/>
              <w:jc w:val="left"/>
              <w:rPr/>
            </w:pPr>
            <w:r>
              <w:rPr/>
              <w:t>02/28/2015</w:t>
            </w:r>
          </w:p>
        </w:tc>
        <w:tc>
          <w:tcPr>
            <w:tcW w:w="1564" w:type="dxa"/>
            <w:tcBorders/>
            <w:vAlign w:val="center"/>
          </w:tcPr>
          <w:p>
            <w:pPr>
              <w:pStyle w:val="TableContents"/>
              <w:bidi w:val="0"/>
              <w:spacing w:before="0" w:after="283"/>
              <w:jc w:val="left"/>
              <w:rPr/>
            </w:pPr>
            <w:r>
              <w:rPr/>
              <w:t>Compensatory Payment</w:t>
            </w:r>
          </w:p>
        </w:tc>
      </w:tr>
      <w:tr>
        <w:trPr/>
        <w:tc>
          <w:tcPr>
            <w:tcW w:w="1033" w:type="dxa"/>
            <w:tcBorders/>
            <w:vAlign w:val="center"/>
          </w:tcPr>
          <w:p>
            <w:pPr>
              <w:pStyle w:val="TableContents"/>
              <w:bidi w:val="0"/>
              <w:spacing w:before="0" w:after="283"/>
              <w:jc w:val="left"/>
              <w:rPr/>
            </w:pPr>
            <w:r>
              <w:rPr/>
              <w:t>Common Stock</w:t>
            </w:r>
          </w:p>
        </w:tc>
        <w:tc>
          <w:tcPr>
            <w:tcW w:w="1078" w:type="dxa"/>
            <w:tcBorders/>
            <w:vAlign w:val="center"/>
          </w:tcPr>
          <w:p>
            <w:pPr>
              <w:pStyle w:val="TableContents"/>
              <w:bidi w:val="0"/>
              <w:spacing w:before="0" w:after="283"/>
              <w:jc w:val="left"/>
              <w:rPr/>
            </w:pPr>
            <w:r>
              <w:rPr/>
              <w:t>03/04/2015</w:t>
            </w:r>
          </w:p>
        </w:tc>
        <w:tc>
          <w:tcPr>
            <w:tcW w:w="1365" w:type="dxa"/>
            <w:tcBorders/>
            <w:vAlign w:val="center"/>
          </w:tcPr>
          <w:p>
            <w:pPr>
              <w:pStyle w:val="TableContents"/>
              <w:bidi w:val="0"/>
              <w:spacing w:before="0" w:after="283"/>
              <w:jc w:val="left"/>
              <w:rPr/>
            </w:pPr>
            <w:r>
              <w:rPr/>
              <w:t>Stock Bonus</w:t>
            </w:r>
          </w:p>
        </w:tc>
        <w:tc>
          <w:tcPr>
            <w:tcW w:w="1465" w:type="dxa"/>
            <w:tcBorders/>
            <w:vAlign w:val="center"/>
          </w:tcPr>
          <w:p>
            <w:pPr>
              <w:pStyle w:val="TableContents"/>
              <w:bidi w:val="0"/>
              <w:spacing w:before="0" w:after="283"/>
              <w:jc w:val="left"/>
              <w:rPr/>
            </w:pPr>
            <w:r>
              <w:rPr/>
              <w:t>Forum Energy Technologies, Inc.</w:t>
            </w:r>
          </w:p>
        </w:tc>
        <w:tc>
          <w:tcPr>
            <w:tcW w:w="502"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07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pPr>
            <w:r>
              <w:rPr/>
              <w:t>42</w:t>
            </w:r>
          </w:p>
        </w:tc>
        <w:tc>
          <w:tcPr>
            <w:tcW w:w="1018" w:type="dxa"/>
            <w:tcBorders/>
            <w:vAlign w:val="center"/>
          </w:tcPr>
          <w:p>
            <w:pPr>
              <w:pStyle w:val="TableContents"/>
              <w:bidi w:val="0"/>
              <w:spacing w:before="0" w:after="283"/>
              <w:jc w:val="left"/>
              <w:rPr/>
            </w:pPr>
            <w:r>
              <w:rPr/>
              <w:t>03/04/2015</w:t>
            </w:r>
          </w:p>
        </w:tc>
        <w:tc>
          <w:tcPr>
            <w:tcW w:w="1564" w:type="dxa"/>
            <w:tcBorders/>
            <w:vAlign w:val="center"/>
          </w:tcPr>
          <w:p>
            <w:pPr>
              <w:pStyle w:val="TableContents"/>
              <w:bidi w:val="0"/>
              <w:spacing w:before="0" w:after="283"/>
              <w:jc w:val="left"/>
              <w:rPr/>
            </w:pPr>
            <w:r>
              <w:rPr/>
              <w:t>Compensatory Payment</w:t>
            </w:r>
          </w:p>
        </w:tc>
      </w:tr>
      <w:tr>
        <w:trPr/>
        <w:tc>
          <w:tcPr>
            <w:tcW w:w="1033" w:type="dxa"/>
            <w:tcBorders/>
            <w:vAlign w:val="center"/>
          </w:tcPr>
          <w:p>
            <w:pPr>
              <w:pStyle w:val="TableContents"/>
              <w:bidi w:val="0"/>
              <w:spacing w:before="0" w:after="283"/>
              <w:jc w:val="left"/>
              <w:rPr/>
            </w:pPr>
            <w:r>
              <w:rPr/>
              <w:t>Common Stock</w:t>
            </w:r>
          </w:p>
        </w:tc>
        <w:tc>
          <w:tcPr>
            <w:tcW w:w="1078" w:type="dxa"/>
            <w:tcBorders/>
            <w:vAlign w:val="center"/>
          </w:tcPr>
          <w:p>
            <w:pPr>
              <w:pStyle w:val="TableContents"/>
              <w:bidi w:val="0"/>
              <w:spacing w:before="0" w:after="283"/>
              <w:jc w:val="left"/>
              <w:rPr/>
            </w:pPr>
            <w:r>
              <w:rPr/>
              <w:t>03/07/2015</w:t>
            </w:r>
          </w:p>
        </w:tc>
        <w:tc>
          <w:tcPr>
            <w:tcW w:w="1365" w:type="dxa"/>
            <w:tcBorders/>
            <w:vAlign w:val="center"/>
          </w:tcPr>
          <w:p>
            <w:pPr>
              <w:pStyle w:val="TableContents"/>
              <w:bidi w:val="0"/>
              <w:spacing w:before="0" w:after="283"/>
              <w:jc w:val="left"/>
              <w:rPr/>
            </w:pPr>
            <w:r>
              <w:rPr/>
              <w:t>Stock Bonus</w:t>
            </w:r>
          </w:p>
        </w:tc>
        <w:tc>
          <w:tcPr>
            <w:tcW w:w="1465" w:type="dxa"/>
            <w:tcBorders/>
            <w:vAlign w:val="center"/>
          </w:tcPr>
          <w:p>
            <w:pPr>
              <w:pStyle w:val="TableContents"/>
              <w:bidi w:val="0"/>
              <w:spacing w:before="0" w:after="283"/>
              <w:jc w:val="left"/>
              <w:rPr/>
            </w:pPr>
            <w:r>
              <w:rPr/>
              <w:t>Forum Energy Technologies, Inc.</w:t>
            </w:r>
          </w:p>
        </w:tc>
        <w:tc>
          <w:tcPr>
            <w:tcW w:w="502"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07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pPr>
            <w:r>
              <w:rPr/>
              <w:t>42</w:t>
            </w:r>
          </w:p>
        </w:tc>
        <w:tc>
          <w:tcPr>
            <w:tcW w:w="1018" w:type="dxa"/>
            <w:tcBorders/>
            <w:vAlign w:val="center"/>
          </w:tcPr>
          <w:p>
            <w:pPr>
              <w:pStyle w:val="TableContents"/>
              <w:bidi w:val="0"/>
              <w:spacing w:before="0" w:after="283"/>
              <w:jc w:val="left"/>
              <w:rPr/>
            </w:pPr>
            <w:r>
              <w:rPr/>
              <w:t>03/07/2015</w:t>
            </w:r>
          </w:p>
        </w:tc>
        <w:tc>
          <w:tcPr>
            <w:tcW w:w="1564" w:type="dxa"/>
            <w:tcBorders/>
            <w:vAlign w:val="center"/>
          </w:tcPr>
          <w:p>
            <w:pPr>
              <w:pStyle w:val="TableContents"/>
              <w:bidi w:val="0"/>
              <w:spacing w:before="0" w:after="283"/>
              <w:jc w:val="left"/>
              <w:rPr/>
            </w:pPr>
            <w:r>
              <w:rPr/>
              <w:t>Compensatory Payment</w:t>
            </w:r>
          </w:p>
        </w:tc>
      </w:tr>
      <w:tr>
        <w:trPr/>
        <w:tc>
          <w:tcPr>
            <w:tcW w:w="1033" w:type="dxa"/>
            <w:tcBorders/>
            <w:vAlign w:val="center"/>
          </w:tcPr>
          <w:p>
            <w:pPr>
              <w:pStyle w:val="TableContents"/>
              <w:bidi w:val="0"/>
              <w:spacing w:before="0" w:after="283"/>
              <w:jc w:val="left"/>
              <w:rPr/>
            </w:pPr>
            <w:r>
              <w:rPr/>
              <w:t>Common Stock</w:t>
            </w:r>
          </w:p>
        </w:tc>
        <w:tc>
          <w:tcPr>
            <w:tcW w:w="1078" w:type="dxa"/>
            <w:tcBorders/>
            <w:vAlign w:val="center"/>
          </w:tcPr>
          <w:p>
            <w:pPr>
              <w:pStyle w:val="TableContents"/>
              <w:bidi w:val="0"/>
              <w:spacing w:before="0" w:after="283"/>
              <w:jc w:val="left"/>
              <w:rPr/>
            </w:pPr>
            <w:r>
              <w:rPr/>
              <w:t>04/12/2015</w:t>
            </w:r>
          </w:p>
        </w:tc>
        <w:tc>
          <w:tcPr>
            <w:tcW w:w="1365" w:type="dxa"/>
            <w:tcBorders/>
            <w:vAlign w:val="center"/>
          </w:tcPr>
          <w:p>
            <w:pPr>
              <w:pStyle w:val="TableContents"/>
              <w:bidi w:val="0"/>
              <w:spacing w:before="0" w:after="283"/>
              <w:jc w:val="left"/>
              <w:rPr/>
            </w:pPr>
            <w:r>
              <w:rPr/>
              <w:t>Stock Bonus</w:t>
            </w:r>
          </w:p>
        </w:tc>
        <w:tc>
          <w:tcPr>
            <w:tcW w:w="1465" w:type="dxa"/>
            <w:tcBorders/>
            <w:vAlign w:val="center"/>
          </w:tcPr>
          <w:p>
            <w:pPr>
              <w:pStyle w:val="TableContents"/>
              <w:bidi w:val="0"/>
              <w:spacing w:before="0" w:after="283"/>
              <w:jc w:val="left"/>
              <w:rPr/>
            </w:pPr>
            <w:r>
              <w:rPr/>
              <w:t>Forum Energy Technologies, Inc.</w:t>
            </w:r>
          </w:p>
        </w:tc>
        <w:tc>
          <w:tcPr>
            <w:tcW w:w="502"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107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pPr>
            <w:r>
              <w:rPr/>
              <w:t>97</w:t>
            </w:r>
          </w:p>
        </w:tc>
        <w:tc>
          <w:tcPr>
            <w:tcW w:w="1018" w:type="dxa"/>
            <w:tcBorders/>
            <w:vAlign w:val="center"/>
          </w:tcPr>
          <w:p>
            <w:pPr>
              <w:pStyle w:val="TableContents"/>
              <w:bidi w:val="0"/>
              <w:spacing w:before="0" w:after="283"/>
              <w:jc w:val="left"/>
              <w:rPr/>
            </w:pPr>
            <w:r>
              <w:rPr/>
              <w:t>04/12/2015</w:t>
            </w:r>
          </w:p>
        </w:tc>
        <w:tc>
          <w:tcPr>
            <w:tcW w:w="1564" w:type="dxa"/>
            <w:tcBorders/>
            <w:vAlign w:val="center"/>
          </w:tcPr>
          <w:p>
            <w:pPr>
              <w:pStyle w:val="TableContents"/>
              <w:bidi w:val="0"/>
              <w:spacing w:before="0" w:after="283"/>
              <w:jc w:val="left"/>
              <w:rPr/>
            </w:pPr>
            <w:r>
              <w:rPr/>
              <w:t>Compensatory Payment</w:t>
            </w:r>
          </w:p>
        </w:tc>
      </w:tr>
      <w:tr>
        <w:trPr/>
        <w:tc>
          <w:tcPr>
            <w:tcW w:w="1033" w:type="dxa"/>
            <w:tcBorders/>
            <w:vAlign w:val="center"/>
          </w:tcPr>
          <w:p>
            <w:pPr>
              <w:pStyle w:val="TableContents"/>
              <w:bidi w:val="0"/>
              <w:spacing w:before="0" w:after="283"/>
              <w:jc w:val="left"/>
              <w:rPr/>
            </w:pPr>
            <w:r>
              <w:rPr/>
              <w:t>Common Stock</w:t>
            </w:r>
          </w:p>
        </w:tc>
        <w:tc>
          <w:tcPr>
            <w:tcW w:w="1078" w:type="dxa"/>
            <w:tcBorders/>
            <w:vAlign w:val="center"/>
          </w:tcPr>
          <w:p>
            <w:pPr>
              <w:pStyle w:val="TableContents"/>
              <w:bidi w:val="0"/>
              <w:spacing w:before="0" w:after="283"/>
              <w:jc w:val="left"/>
              <w:rPr/>
            </w:pPr>
            <w:r>
              <w:rPr/>
              <w:t>02/20/2016</w:t>
            </w:r>
          </w:p>
        </w:tc>
        <w:tc>
          <w:tcPr>
            <w:tcW w:w="1365" w:type="dxa"/>
            <w:tcBorders/>
            <w:vAlign w:val="center"/>
          </w:tcPr>
          <w:p>
            <w:pPr>
              <w:pStyle w:val="TableContents"/>
              <w:bidi w:val="0"/>
              <w:spacing w:before="0" w:after="283"/>
              <w:jc w:val="left"/>
              <w:rPr/>
            </w:pPr>
            <w:r>
              <w:rPr/>
              <w:t>Stock Bonus</w:t>
            </w:r>
          </w:p>
        </w:tc>
        <w:tc>
          <w:tcPr>
            <w:tcW w:w="1465" w:type="dxa"/>
            <w:tcBorders/>
            <w:vAlign w:val="center"/>
          </w:tcPr>
          <w:p>
            <w:pPr>
              <w:pStyle w:val="TableContents"/>
              <w:bidi w:val="0"/>
              <w:spacing w:before="0" w:after="283"/>
              <w:jc w:val="left"/>
              <w:rPr/>
            </w:pPr>
            <w:r>
              <w:rPr/>
              <w:t>Forum Energy Technologies, Inc.</w:t>
            </w:r>
          </w:p>
        </w:tc>
        <w:tc>
          <w:tcPr>
            <w:tcW w:w="502"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07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pPr>
            <w:r>
              <w:rPr/>
              <w:t>45</w:t>
            </w:r>
          </w:p>
        </w:tc>
        <w:tc>
          <w:tcPr>
            <w:tcW w:w="1018" w:type="dxa"/>
            <w:tcBorders/>
            <w:vAlign w:val="center"/>
          </w:tcPr>
          <w:p>
            <w:pPr>
              <w:pStyle w:val="TableContents"/>
              <w:bidi w:val="0"/>
              <w:spacing w:before="0" w:after="283"/>
              <w:jc w:val="left"/>
              <w:rPr/>
            </w:pPr>
            <w:r>
              <w:rPr/>
              <w:t>02/20/2016</w:t>
            </w:r>
          </w:p>
        </w:tc>
        <w:tc>
          <w:tcPr>
            <w:tcW w:w="1564" w:type="dxa"/>
            <w:tcBorders/>
            <w:vAlign w:val="center"/>
          </w:tcPr>
          <w:p>
            <w:pPr>
              <w:pStyle w:val="TableContents"/>
              <w:bidi w:val="0"/>
              <w:spacing w:before="0" w:after="283"/>
              <w:jc w:val="left"/>
              <w:rPr/>
            </w:pPr>
            <w:r>
              <w:rPr/>
              <w:t>Compensatory Payment</w:t>
            </w:r>
          </w:p>
        </w:tc>
      </w:tr>
      <w:tr>
        <w:trPr/>
        <w:tc>
          <w:tcPr>
            <w:tcW w:w="1033" w:type="dxa"/>
            <w:tcBorders/>
            <w:vAlign w:val="center"/>
          </w:tcPr>
          <w:p>
            <w:pPr>
              <w:pStyle w:val="TableContents"/>
              <w:bidi w:val="0"/>
              <w:spacing w:before="0" w:after="283"/>
              <w:jc w:val="left"/>
              <w:rPr/>
            </w:pPr>
            <w:r>
              <w:rPr/>
              <w:t>Common Stock</w:t>
            </w:r>
          </w:p>
        </w:tc>
        <w:tc>
          <w:tcPr>
            <w:tcW w:w="1078" w:type="dxa"/>
            <w:tcBorders/>
            <w:vAlign w:val="center"/>
          </w:tcPr>
          <w:p>
            <w:pPr>
              <w:pStyle w:val="TableContents"/>
              <w:bidi w:val="0"/>
              <w:spacing w:before="0" w:after="283"/>
              <w:jc w:val="left"/>
              <w:rPr/>
            </w:pPr>
            <w:r>
              <w:rPr/>
              <w:t>02/28/2016</w:t>
            </w:r>
          </w:p>
        </w:tc>
        <w:tc>
          <w:tcPr>
            <w:tcW w:w="1365" w:type="dxa"/>
            <w:tcBorders/>
            <w:vAlign w:val="center"/>
          </w:tcPr>
          <w:p>
            <w:pPr>
              <w:pStyle w:val="TableContents"/>
              <w:bidi w:val="0"/>
              <w:spacing w:before="0" w:after="283"/>
              <w:jc w:val="left"/>
              <w:rPr/>
            </w:pPr>
            <w:r>
              <w:rPr/>
              <w:t>Stock Bonus</w:t>
            </w:r>
          </w:p>
        </w:tc>
        <w:tc>
          <w:tcPr>
            <w:tcW w:w="1465" w:type="dxa"/>
            <w:tcBorders/>
            <w:vAlign w:val="center"/>
          </w:tcPr>
          <w:p>
            <w:pPr>
              <w:pStyle w:val="TableContents"/>
              <w:bidi w:val="0"/>
              <w:spacing w:before="0" w:after="283"/>
              <w:jc w:val="left"/>
              <w:rPr/>
            </w:pPr>
            <w:r>
              <w:rPr/>
              <w:t>Forum Energy Technologies, Inc.</w:t>
            </w:r>
          </w:p>
        </w:tc>
        <w:tc>
          <w:tcPr>
            <w:tcW w:w="50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107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pPr>
            <w:r>
              <w:rPr/>
              <w:t>53</w:t>
            </w:r>
          </w:p>
        </w:tc>
        <w:tc>
          <w:tcPr>
            <w:tcW w:w="1018" w:type="dxa"/>
            <w:tcBorders/>
            <w:vAlign w:val="center"/>
          </w:tcPr>
          <w:p>
            <w:pPr>
              <w:pStyle w:val="TableContents"/>
              <w:bidi w:val="0"/>
              <w:spacing w:before="0" w:after="283"/>
              <w:jc w:val="left"/>
              <w:rPr/>
            </w:pPr>
            <w:r>
              <w:rPr/>
              <w:t>02/28/2016</w:t>
            </w:r>
          </w:p>
        </w:tc>
        <w:tc>
          <w:tcPr>
            <w:tcW w:w="1564" w:type="dxa"/>
            <w:tcBorders/>
            <w:vAlign w:val="center"/>
          </w:tcPr>
          <w:p>
            <w:pPr>
              <w:pStyle w:val="TableContents"/>
              <w:bidi w:val="0"/>
              <w:spacing w:before="0" w:after="283"/>
              <w:jc w:val="left"/>
              <w:rPr/>
            </w:pPr>
            <w:r>
              <w:rPr/>
              <w:t>Compensatory Payment</w:t>
            </w:r>
          </w:p>
        </w:tc>
      </w:tr>
      <w:tr>
        <w:trPr/>
        <w:tc>
          <w:tcPr>
            <w:tcW w:w="1033" w:type="dxa"/>
            <w:tcBorders/>
            <w:vAlign w:val="center"/>
          </w:tcPr>
          <w:p>
            <w:pPr>
              <w:pStyle w:val="TableContents"/>
              <w:bidi w:val="0"/>
              <w:spacing w:before="0" w:after="283"/>
              <w:jc w:val="left"/>
              <w:rPr/>
            </w:pPr>
            <w:r>
              <w:rPr/>
              <w:t>Common Stock</w:t>
            </w:r>
          </w:p>
        </w:tc>
        <w:tc>
          <w:tcPr>
            <w:tcW w:w="1078" w:type="dxa"/>
            <w:tcBorders/>
            <w:vAlign w:val="center"/>
          </w:tcPr>
          <w:p>
            <w:pPr>
              <w:pStyle w:val="TableContents"/>
              <w:bidi w:val="0"/>
              <w:spacing w:before="0" w:after="283"/>
              <w:jc w:val="left"/>
              <w:rPr/>
            </w:pPr>
            <w:r>
              <w:rPr/>
              <w:t>03/04/2016</w:t>
            </w:r>
          </w:p>
        </w:tc>
        <w:tc>
          <w:tcPr>
            <w:tcW w:w="1365" w:type="dxa"/>
            <w:tcBorders/>
            <w:vAlign w:val="center"/>
          </w:tcPr>
          <w:p>
            <w:pPr>
              <w:pStyle w:val="TableContents"/>
              <w:bidi w:val="0"/>
              <w:spacing w:before="0" w:after="283"/>
              <w:jc w:val="left"/>
              <w:rPr/>
            </w:pPr>
            <w:r>
              <w:rPr/>
              <w:t>Stock Bonus</w:t>
            </w:r>
          </w:p>
        </w:tc>
        <w:tc>
          <w:tcPr>
            <w:tcW w:w="1465" w:type="dxa"/>
            <w:tcBorders/>
            <w:vAlign w:val="center"/>
          </w:tcPr>
          <w:p>
            <w:pPr>
              <w:pStyle w:val="TableContents"/>
              <w:bidi w:val="0"/>
              <w:spacing w:before="0" w:after="283"/>
              <w:jc w:val="left"/>
              <w:rPr/>
            </w:pPr>
            <w:r>
              <w:rPr/>
              <w:t>Forum Energy Technologies, Inc.</w:t>
            </w:r>
          </w:p>
        </w:tc>
        <w:tc>
          <w:tcPr>
            <w:tcW w:w="50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07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pPr>
            <w:r>
              <w:rPr/>
              <w:t>42</w:t>
            </w:r>
          </w:p>
        </w:tc>
        <w:tc>
          <w:tcPr>
            <w:tcW w:w="1018" w:type="dxa"/>
            <w:tcBorders/>
            <w:vAlign w:val="center"/>
          </w:tcPr>
          <w:p>
            <w:pPr>
              <w:pStyle w:val="TableContents"/>
              <w:bidi w:val="0"/>
              <w:spacing w:before="0" w:after="283"/>
              <w:jc w:val="left"/>
              <w:rPr/>
            </w:pPr>
            <w:r>
              <w:rPr/>
              <w:t>03/04/2016</w:t>
            </w:r>
          </w:p>
        </w:tc>
        <w:tc>
          <w:tcPr>
            <w:tcW w:w="1564" w:type="dxa"/>
            <w:tcBorders/>
            <w:vAlign w:val="center"/>
          </w:tcPr>
          <w:p>
            <w:pPr>
              <w:pStyle w:val="TableContents"/>
              <w:bidi w:val="0"/>
              <w:spacing w:before="0" w:after="283"/>
              <w:jc w:val="left"/>
              <w:rPr/>
            </w:pPr>
            <w:r>
              <w:rPr/>
              <w:t>Compensatory Payment</w:t>
            </w:r>
          </w:p>
        </w:tc>
      </w:tr>
      <w:tr>
        <w:trPr/>
        <w:tc>
          <w:tcPr>
            <w:tcW w:w="1033" w:type="dxa"/>
            <w:tcBorders/>
            <w:vAlign w:val="center"/>
          </w:tcPr>
          <w:p>
            <w:pPr>
              <w:pStyle w:val="TableContents"/>
              <w:bidi w:val="0"/>
              <w:spacing w:before="0" w:after="283"/>
              <w:jc w:val="left"/>
              <w:rPr/>
            </w:pPr>
            <w:r>
              <w:rPr/>
              <w:t>Common Stock</w:t>
            </w:r>
          </w:p>
        </w:tc>
        <w:tc>
          <w:tcPr>
            <w:tcW w:w="1078" w:type="dxa"/>
            <w:tcBorders/>
            <w:vAlign w:val="center"/>
          </w:tcPr>
          <w:p>
            <w:pPr>
              <w:pStyle w:val="TableContents"/>
              <w:bidi w:val="0"/>
              <w:spacing w:before="0" w:after="283"/>
              <w:jc w:val="left"/>
              <w:rPr/>
            </w:pPr>
            <w:r>
              <w:rPr/>
              <w:t>03/07/2016</w:t>
            </w:r>
          </w:p>
        </w:tc>
        <w:tc>
          <w:tcPr>
            <w:tcW w:w="1365" w:type="dxa"/>
            <w:tcBorders/>
            <w:vAlign w:val="center"/>
          </w:tcPr>
          <w:p>
            <w:pPr>
              <w:pStyle w:val="TableContents"/>
              <w:bidi w:val="0"/>
              <w:spacing w:before="0" w:after="283"/>
              <w:jc w:val="left"/>
              <w:rPr/>
            </w:pPr>
            <w:r>
              <w:rPr/>
              <w:t>Stock Bonus</w:t>
            </w:r>
          </w:p>
        </w:tc>
        <w:tc>
          <w:tcPr>
            <w:tcW w:w="1465" w:type="dxa"/>
            <w:tcBorders/>
            <w:vAlign w:val="center"/>
          </w:tcPr>
          <w:p>
            <w:pPr>
              <w:pStyle w:val="TableContents"/>
              <w:bidi w:val="0"/>
              <w:spacing w:before="0" w:after="283"/>
              <w:jc w:val="left"/>
              <w:rPr/>
            </w:pPr>
            <w:r>
              <w:rPr/>
              <w:t>Forum Energy Technologies, Inc.</w:t>
            </w:r>
          </w:p>
        </w:tc>
        <w:tc>
          <w:tcPr>
            <w:tcW w:w="502"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07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pPr>
            <w:r>
              <w:rPr/>
              <w:t>42</w:t>
            </w:r>
          </w:p>
        </w:tc>
        <w:tc>
          <w:tcPr>
            <w:tcW w:w="1018" w:type="dxa"/>
            <w:tcBorders/>
            <w:vAlign w:val="center"/>
          </w:tcPr>
          <w:p>
            <w:pPr>
              <w:pStyle w:val="TableContents"/>
              <w:bidi w:val="0"/>
              <w:spacing w:before="0" w:after="283"/>
              <w:jc w:val="left"/>
              <w:rPr/>
            </w:pPr>
            <w:r>
              <w:rPr/>
              <w:t>03/07/2016</w:t>
            </w:r>
          </w:p>
        </w:tc>
        <w:tc>
          <w:tcPr>
            <w:tcW w:w="1564" w:type="dxa"/>
            <w:tcBorders/>
            <w:vAlign w:val="center"/>
          </w:tcPr>
          <w:p>
            <w:pPr>
              <w:pStyle w:val="TableContents"/>
              <w:bidi w:val="0"/>
              <w:spacing w:before="0" w:after="283"/>
              <w:jc w:val="left"/>
              <w:rPr/>
            </w:pPr>
            <w:r>
              <w:rPr/>
              <w:t>Compensatory Payment</w:t>
            </w:r>
          </w:p>
        </w:tc>
      </w:tr>
      <w:tr>
        <w:trPr/>
        <w:tc>
          <w:tcPr>
            <w:tcW w:w="1033" w:type="dxa"/>
            <w:tcBorders/>
            <w:vAlign w:val="center"/>
          </w:tcPr>
          <w:p>
            <w:pPr>
              <w:pStyle w:val="TableContents"/>
              <w:bidi w:val="0"/>
              <w:spacing w:before="0" w:after="283"/>
              <w:jc w:val="left"/>
              <w:rPr/>
            </w:pPr>
            <w:r>
              <w:rPr/>
              <w:t>Common Stock</w:t>
            </w:r>
          </w:p>
        </w:tc>
        <w:tc>
          <w:tcPr>
            <w:tcW w:w="1078" w:type="dxa"/>
            <w:tcBorders/>
            <w:vAlign w:val="center"/>
          </w:tcPr>
          <w:p>
            <w:pPr>
              <w:pStyle w:val="TableContents"/>
              <w:bidi w:val="0"/>
              <w:spacing w:before="0" w:after="283"/>
              <w:jc w:val="left"/>
              <w:rPr/>
            </w:pPr>
            <w:r>
              <w:rPr/>
              <w:t>03/15/2016</w:t>
            </w:r>
          </w:p>
        </w:tc>
        <w:tc>
          <w:tcPr>
            <w:tcW w:w="1365" w:type="dxa"/>
            <w:tcBorders/>
            <w:vAlign w:val="center"/>
          </w:tcPr>
          <w:p>
            <w:pPr>
              <w:pStyle w:val="TableContents"/>
              <w:bidi w:val="0"/>
              <w:spacing w:before="0" w:after="283"/>
              <w:jc w:val="left"/>
              <w:rPr/>
            </w:pPr>
            <w:r>
              <w:rPr/>
              <w:t>Stock Bonus</w:t>
            </w:r>
          </w:p>
        </w:tc>
        <w:tc>
          <w:tcPr>
            <w:tcW w:w="1465" w:type="dxa"/>
            <w:tcBorders/>
            <w:vAlign w:val="center"/>
          </w:tcPr>
          <w:p>
            <w:pPr>
              <w:pStyle w:val="TableContents"/>
              <w:bidi w:val="0"/>
              <w:spacing w:before="0" w:after="283"/>
              <w:jc w:val="left"/>
              <w:rPr/>
            </w:pPr>
            <w:r>
              <w:rPr/>
              <w:t>Forum Energy Technologies, Inc.</w:t>
            </w:r>
          </w:p>
        </w:tc>
        <w:tc>
          <w:tcPr>
            <w:tcW w:w="50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107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pPr>
            <w:r>
              <w:rPr/>
              <w:t>45</w:t>
            </w:r>
          </w:p>
        </w:tc>
        <w:tc>
          <w:tcPr>
            <w:tcW w:w="1018" w:type="dxa"/>
            <w:tcBorders/>
            <w:vAlign w:val="center"/>
          </w:tcPr>
          <w:p>
            <w:pPr>
              <w:pStyle w:val="TableContents"/>
              <w:bidi w:val="0"/>
              <w:spacing w:before="0" w:after="283"/>
              <w:jc w:val="left"/>
              <w:rPr/>
            </w:pPr>
            <w:r>
              <w:rPr/>
              <w:t>03/15/2016</w:t>
            </w:r>
          </w:p>
        </w:tc>
        <w:tc>
          <w:tcPr>
            <w:tcW w:w="1564" w:type="dxa"/>
            <w:tcBorders/>
            <w:vAlign w:val="center"/>
          </w:tcPr>
          <w:p>
            <w:pPr>
              <w:pStyle w:val="TableContents"/>
              <w:bidi w:val="0"/>
              <w:spacing w:before="0" w:after="283"/>
              <w:jc w:val="left"/>
              <w:rPr/>
            </w:pPr>
            <w:r>
              <w:rPr/>
              <w:t>Compensatory Payment</w:t>
            </w:r>
          </w:p>
        </w:tc>
      </w:tr>
      <w:tr>
        <w:trPr/>
        <w:tc>
          <w:tcPr>
            <w:tcW w:w="1033" w:type="dxa"/>
            <w:tcBorders/>
            <w:vAlign w:val="center"/>
          </w:tcPr>
          <w:p>
            <w:pPr>
              <w:pStyle w:val="TableContents"/>
              <w:bidi w:val="0"/>
              <w:spacing w:before="0" w:after="283"/>
              <w:jc w:val="left"/>
              <w:rPr/>
            </w:pPr>
            <w:r>
              <w:rPr/>
              <w:t>Common Stock</w:t>
            </w:r>
          </w:p>
        </w:tc>
        <w:tc>
          <w:tcPr>
            <w:tcW w:w="1078" w:type="dxa"/>
            <w:tcBorders/>
            <w:vAlign w:val="center"/>
          </w:tcPr>
          <w:p>
            <w:pPr>
              <w:pStyle w:val="TableContents"/>
              <w:bidi w:val="0"/>
              <w:spacing w:before="0" w:after="283"/>
              <w:jc w:val="left"/>
              <w:rPr/>
            </w:pPr>
            <w:r>
              <w:rPr/>
              <w:t>04/12/2016</w:t>
            </w:r>
          </w:p>
        </w:tc>
        <w:tc>
          <w:tcPr>
            <w:tcW w:w="1365" w:type="dxa"/>
            <w:tcBorders/>
            <w:vAlign w:val="center"/>
          </w:tcPr>
          <w:p>
            <w:pPr>
              <w:pStyle w:val="TableContents"/>
              <w:bidi w:val="0"/>
              <w:spacing w:before="0" w:after="283"/>
              <w:jc w:val="left"/>
              <w:rPr/>
            </w:pPr>
            <w:r>
              <w:rPr/>
              <w:t>Stock Bonus</w:t>
            </w:r>
          </w:p>
        </w:tc>
        <w:tc>
          <w:tcPr>
            <w:tcW w:w="1465" w:type="dxa"/>
            <w:tcBorders/>
            <w:vAlign w:val="center"/>
          </w:tcPr>
          <w:p>
            <w:pPr>
              <w:pStyle w:val="TableContents"/>
              <w:bidi w:val="0"/>
              <w:spacing w:before="0" w:after="283"/>
              <w:jc w:val="left"/>
              <w:rPr/>
            </w:pPr>
            <w:r>
              <w:rPr/>
              <w:t>Forum Energy Technologies, Inc.</w:t>
            </w:r>
          </w:p>
        </w:tc>
        <w:tc>
          <w:tcPr>
            <w:tcW w:w="50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07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pPr>
            <w:r>
              <w:rPr/>
              <w:t>99</w:t>
            </w:r>
          </w:p>
        </w:tc>
        <w:tc>
          <w:tcPr>
            <w:tcW w:w="1018" w:type="dxa"/>
            <w:tcBorders/>
            <w:vAlign w:val="center"/>
          </w:tcPr>
          <w:p>
            <w:pPr>
              <w:pStyle w:val="TableContents"/>
              <w:bidi w:val="0"/>
              <w:spacing w:before="0" w:after="283"/>
              <w:jc w:val="left"/>
              <w:rPr/>
            </w:pPr>
            <w:r>
              <w:rPr/>
              <w:t>04/12/2016</w:t>
            </w:r>
          </w:p>
        </w:tc>
        <w:tc>
          <w:tcPr>
            <w:tcW w:w="1564" w:type="dxa"/>
            <w:tcBorders/>
            <w:vAlign w:val="center"/>
          </w:tcPr>
          <w:p>
            <w:pPr>
              <w:pStyle w:val="TableContents"/>
              <w:bidi w:val="0"/>
              <w:spacing w:before="0" w:after="283"/>
              <w:jc w:val="left"/>
              <w:rPr/>
            </w:pPr>
            <w:r>
              <w:rPr/>
              <w:t>Compensatory Payment</w:t>
            </w:r>
          </w:p>
        </w:tc>
      </w:tr>
      <w:tr>
        <w:trPr/>
        <w:tc>
          <w:tcPr>
            <w:tcW w:w="1033" w:type="dxa"/>
            <w:tcBorders/>
            <w:vAlign w:val="center"/>
          </w:tcPr>
          <w:p>
            <w:pPr>
              <w:pStyle w:val="TableContents"/>
              <w:bidi w:val="0"/>
              <w:spacing w:before="0" w:after="283"/>
              <w:jc w:val="left"/>
              <w:rPr/>
            </w:pPr>
            <w:r>
              <w:rPr/>
              <w:t>Common Stock</w:t>
            </w:r>
          </w:p>
        </w:tc>
        <w:tc>
          <w:tcPr>
            <w:tcW w:w="1078" w:type="dxa"/>
            <w:tcBorders/>
            <w:vAlign w:val="center"/>
          </w:tcPr>
          <w:p>
            <w:pPr>
              <w:pStyle w:val="TableContents"/>
              <w:bidi w:val="0"/>
              <w:spacing w:before="0" w:after="283"/>
              <w:jc w:val="left"/>
              <w:rPr/>
            </w:pPr>
            <w:r>
              <w:rPr/>
              <w:t>02/19/2017</w:t>
            </w:r>
          </w:p>
        </w:tc>
        <w:tc>
          <w:tcPr>
            <w:tcW w:w="1365" w:type="dxa"/>
            <w:tcBorders/>
            <w:vAlign w:val="center"/>
          </w:tcPr>
          <w:p>
            <w:pPr>
              <w:pStyle w:val="TableContents"/>
              <w:bidi w:val="0"/>
              <w:spacing w:before="0" w:after="283"/>
              <w:jc w:val="left"/>
              <w:rPr/>
            </w:pPr>
            <w:r>
              <w:rPr/>
              <w:t>Stock Bonus</w:t>
            </w:r>
          </w:p>
        </w:tc>
        <w:tc>
          <w:tcPr>
            <w:tcW w:w="1465" w:type="dxa"/>
            <w:tcBorders/>
            <w:vAlign w:val="center"/>
          </w:tcPr>
          <w:p>
            <w:pPr>
              <w:pStyle w:val="TableContents"/>
              <w:bidi w:val="0"/>
              <w:spacing w:before="0" w:after="283"/>
              <w:jc w:val="left"/>
              <w:rPr/>
            </w:pPr>
            <w:r>
              <w:rPr/>
              <w:t>Forum Energy Technologies, Inc.</w:t>
            </w:r>
          </w:p>
        </w:tc>
        <w:tc>
          <w:tcPr>
            <w:tcW w:w="502"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07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pPr>
            <w:r>
              <w:rPr/>
              <w:t>114</w:t>
            </w:r>
          </w:p>
        </w:tc>
        <w:tc>
          <w:tcPr>
            <w:tcW w:w="1018" w:type="dxa"/>
            <w:tcBorders/>
            <w:vAlign w:val="center"/>
          </w:tcPr>
          <w:p>
            <w:pPr>
              <w:pStyle w:val="TableContents"/>
              <w:bidi w:val="0"/>
              <w:spacing w:before="0" w:after="283"/>
              <w:jc w:val="left"/>
              <w:rPr/>
            </w:pPr>
            <w:r>
              <w:rPr/>
              <w:t>02/19/2017</w:t>
            </w:r>
          </w:p>
        </w:tc>
        <w:tc>
          <w:tcPr>
            <w:tcW w:w="1564" w:type="dxa"/>
            <w:tcBorders/>
            <w:vAlign w:val="center"/>
          </w:tcPr>
          <w:p>
            <w:pPr>
              <w:pStyle w:val="TableContents"/>
              <w:bidi w:val="0"/>
              <w:spacing w:before="0" w:after="283"/>
              <w:jc w:val="left"/>
              <w:rPr/>
            </w:pPr>
            <w:r>
              <w:rPr/>
              <w:t>Compensatory Payment</w:t>
            </w:r>
          </w:p>
        </w:tc>
      </w:tr>
      <w:tr>
        <w:trPr/>
        <w:tc>
          <w:tcPr>
            <w:tcW w:w="1033" w:type="dxa"/>
            <w:tcBorders/>
            <w:vAlign w:val="center"/>
          </w:tcPr>
          <w:p>
            <w:pPr>
              <w:pStyle w:val="TableContents"/>
              <w:bidi w:val="0"/>
              <w:spacing w:before="0" w:after="283"/>
              <w:jc w:val="left"/>
              <w:rPr/>
            </w:pPr>
            <w:r>
              <w:rPr/>
              <w:t>Common Stock</w:t>
            </w:r>
          </w:p>
        </w:tc>
        <w:tc>
          <w:tcPr>
            <w:tcW w:w="1078" w:type="dxa"/>
            <w:tcBorders/>
            <w:vAlign w:val="center"/>
          </w:tcPr>
          <w:p>
            <w:pPr>
              <w:pStyle w:val="TableContents"/>
              <w:bidi w:val="0"/>
              <w:spacing w:before="0" w:after="283"/>
              <w:jc w:val="left"/>
              <w:rPr/>
            </w:pPr>
            <w:r>
              <w:rPr/>
              <w:t>02/20/2017</w:t>
            </w:r>
          </w:p>
        </w:tc>
        <w:tc>
          <w:tcPr>
            <w:tcW w:w="1365" w:type="dxa"/>
            <w:tcBorders/>
            <w:vAlign w:val="center"/>
          </w:tcPr>
          <w:p>
            <w:pPr>
              <w:pStyle w:val="TableContents"/>
              <w:bidi w:val="0"/>
              <w:spacing w:before="0" w:after="283"/>
              <w:jc w:val="left"/>
              <w:rPr/>
            </w:pPr>
            <w:r>
              <w:rPr/>
              <w:t>Stock Bonus</w:t>
            </w:r>
          </w:p>
        </w:tc>
        <w:tc>
          <w:tcPr>
            <w:tcW w:w="1465" w:type="dxa"/>
            <w:tcBorders/>
            <w:vAlign w:val="center"/>
          </w:tcPr>
          <w:p>
            <w:pPr>
              <w:pStyle w:val="TableContents"/>
              <w:bidi w:val="0"/>
              <w:spacing w:before="0" w:after="283"/>
              <w:jc w:val="left"/>
              <w:rPr/>
            </w:pPr>
            <w:r>
              <w:rPr/>
              <w:t>Forum Energy Technologies, Inc.</w:t>
            </w:r>
          </w:p>
        </w:tc>
        <w:tc>
          <w:tcPr>
            <w:tcW w:w="502"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107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pPr>
            <w:r>
              <w:rPr/>
              <w:t>46</w:t>
            </w:r>
          </w:p>
        </w:tc>
        <w:tc>
          <w:tcPr>
            <w:tcW w:w="1018" w:type="dxa"/>
            <w:tcBorders/>
            <w:vAlign w:val="center"/>
          </w:tcPr>
          <w:p>
            <w:pPr>
              <w:pStyle w:val="TableContents"/>
              <w:bidi w:val="0"/>
              <w:spacing w:before="0" w:after="283"/>
              <w:jc w:val="left"/>
              <w:rPr/>
            </w:pPr>
            <w:r>
              <w:rPr/>
              <w:t>02/20/2017</w:t>
            </w:r>
          </w:p>
        </w:tc>
        <w:tc>
          <w:tcPr>
            <w:tcW w:w="1564" w:type="dxa"/>
            <w:tcBorders/>
            <w:vAlign w:val="center"/>
          </w:tcPr>
          <w:p>
            <w:pPr>
              <w:pStyle w:val="TableContents"/>
              <w:bidi w:val="0"/>
              <w:spacing w:before="0" w:after="283"/>
              <w:jc w:val="left"/>
              <w:rPr/>
            </w:pPr>
            <w:r>
              <w:rPr/>
              <w:t>Compensatory Payment</w:t>
            </w:r>
          </w:p>
        </w:tc>
      </w:tr>
      <w:tr>
        <w:trPr/>
        <w:tc>
          <w:tcPr>
            <w:tcW w:w="1033" w:type="dxa"/>
            <w:tcBorders/>
            <w:vAlign w:val="center"/>
          </w:tcPr>
          <w:p>
            <w:pPr>
              <w:pStyle w:val="TableContents"/>
              <w:bidi w:val="0"/>
              <w:spacing w:before="0" w:after="283"/>
              <w:jc w:val="left"/>
              <w:rPr/>
            </w:pPr>
            <w:r>
              <w:rPr/>
              <w:t>Common Stock</w:t>
            </w:r>
          </w:p>
        </w:tc>
        <w:tc>
          <w:tcPr>
            <w:tcW w:w="1078" w:type="dxa"/>
            <w:tcBorders/>
            <w:vAlign w:val="center"/>
          </w:tcPr>
          <w:p>
            <w:pPr>
              <w:pStyle w:val="TableContents"/>
              <w:bidi w:val="0"/>
              <w:spacing w:before="0" w:after="283"/>
              <w:jc w:val="left"/>
              <w:rPr/>
            </w:pPr>
            <w:r>
              <w:rPr/>
              <w:t>03/04/2017</w:t>
            </w:r>
          </w:p>
        </w:tc>
        <w:tc>
          <w:tcPr>
            <w:tcW w:w="1365" w:type="dxa"/>
            <w:tcBorders/>
            <w:vAlign w:val="center"/>
          </w:tcPr>
          <w:p>
            <w:pPr>
              <w:pStyle w:val="TableContents"/>
              <w:bidi w:val="0"/>
              <w:spacing w:before="0" w:after="283"/>
              <w:jc w:val="left"/>
              <w:rPr/>
            </w:pPr>
            <w:r>
              <w:rPr/>
              <w:t>Stock Bonus</w:t>
            </w:r>
          </w:p>
        </w:tc>
        <w:tc>
          <w:tcPr>
            <w:tcW w:w="1465" w:type="dxa"/>
            <w:tcBorders/>
            <w:vAlign w:val="center"/>
          </w:tcPr>
          <w:p>
            <w:pPr>
              <w:pStyle w:val="TableContents"/>
              <w:bidi w:val="0"/>
              <w:spacing w:before="0" w:after="283"/>
              <w:jc w:val="left"/>
              <w:rPr/>
            </w:pPr>
            <w:r>
              <w:rPr/>
              <w:t>Forum Energy Technologies, Inc.</w:t>
            </w:r>
          </w:p>
        </w:tc>
        <w:tc>
          <w:tcPr>
            <w:tcW w:w="502"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07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pPr>
            <w:r>
              <w:rPr/>
              <w:t>46</w:t>
            </w:r>
          </w:p>
        </w:tc>
        <w:tc>
          <w:tcPr>
            <w:tcW w:w="1018" w:type="dxa"/>
            <w:tcBorders/>
            <w:vAlign w:val="center"/>
          </w:tcPr>
          <w:p>
            <w:pPr>
              <w:pStyle w:val="TableContents"/>
              <w:bidi w:val="0"/>
              <w:spacing w:before="0" w:after="283"/>
              <w:jc w:val="left"/>
              <w:rPr/>
            </w:pPr>
            <w:r>
              <w:rPr/>
              <w:t>03/04/2017</w:t>
            </w:r>
          </w:p>
        </w:tc>
        <w:tc>
          <w:tcPr>
            <w:tcW w:w="1564" w:type="dxa"/>
            <w:tcBorders/>
            <w:vAlign w:val="center"/>
          </w:tcPr>
          <w:p>
            <w:pPr>
              <w:pStyle w:val="TableContents"/>
              <w:bidi w:val="0"/>
              <w:spacing w:before="0" w:after="283"/>
              <w:jc w:val="left"/>
              <w:rPr/>
            </w:pPr>
            <w:r>
              <w:rPr/>
              <w:t>Compensatory Payment</w:t>
            </w:r>
          </w:p>
        </w:tc>
      </w:tr>
      <w:tr>
        <w:trPr/>
        <w:tc>
          <w:tcPr>
            <w:tcW w:w="1033" w:type="dxa"/>
            <w:tcBorders/>
            <w:vAlign w:val="center"/>
          </w:tcPr>
          <w:p>
            <w:pPr>
              <w:pStyle w:val="TableContents"/>
              <w:bidi w:val="0"/>
              <w:spacing w:before="0" w:after="283"/>
              <w:jc w:val="left"/>
              <w:rPr/>
            </w:pPr>
            <w:r>
              <w:rPr/>
              <w:t>Common Stock</w:t>
            </w:r>
          </w:p>
        </w:tc>
        <w:tc>
          <w:tcPr>
            <w:tcW w:w="1078" w:type="dxa"/>
            <w:tcBorders/>
            <w:vAlign w:val="center"/>
          </w:tcPr>
          <w:p>
            <w:pPr>
              <w:pStyle w:val="TableContents"/>
              <w:bidi w:val="0"/>
              <w:spacing w:before="0" w:after="283"/>
              <w:jc w:val="left"/>
              <w:rPr/>
            </w:pPr>
            <w:r>
              <w:rPr/>
              <w:t>03/07/2017</w:t>
            </w:r>
          </w:p>
        </w:tc>
        <w:tc>
          <w:tcPr>
            <w:tcW w:w="1365" w:type="dxa"/>
            <w:tcBorders/>
            <w:vAlign w:val="center"/>
          </w:tcPr>
          <w:p>
            <w:pPr>
              <w:pStyle w:val="TableContents"/>
              <w:bidi w:val="0"/>
              <w:spacing w:before="0" w:after="283"/>
              <w:jc w:val="left"/>
              <w:rPr/>
            </w:pPr>
            <w:r>
              <w:rPr/>
              <w:t>Stock Bonus</w:t>
            </w:r>
          </w:p>
        </w:tc>
        <w:tc>
          <w:tcPr>
            <w:tcW w:w="1465" w:type="dxa"/>
            <w:tcBorders/>
            <w:vAlign w:val="center"/>
          </w:tcPr>
          <w:p>
            <w:pPr>
              <w:pStyle w:val="TableContents"/>
              <w:bidi w:val="0"/>
              <w:spacing w:before="0" w:after="283"/>
              <w:jc w:val="left"/>
              <w:rPr/>
            </w:pPr>
            <w:r>
              <w:rPr/>
              <w:t>Forum Energy Technologies, Inc.</w:t>
            </w:r>
          </w:p>
        </w:tc>
        <w:tc>
          <w:tcPr>
            <w:tcW w:w="502"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107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pPr>
            <w:r>
              <w:rPr/>
              <w:t>46</w:t>
            </w:r>
          </w:p>
        </w:tc>
        <w:tc>
          <w:tcPr>
            <w:tcW w:w="1018" w:type="dxa"/>
            <w:tcBorders/>
            <w:vAlign w:val="center"/>
          </w:tcPr>
          <w:p>
            <w:pPr>
              <w:pStyle w:val="TableContents"/>
              <w:bidi w:val="0"/>
              <w:spacing w:before="0" w:after="283"/>
              <w:jc w:val="left"/>
              <w:rPr/>
            </w:pPr>
            <w:r>
              <w:rPr/>
              <w:t>03/07/2017</w:t>
            </w:r>
          </w:p>
        </w:tc>
        <w:tc>
          <w:tcPr>
            <w:tcW w:w="1564" w:type="dxa"/>
            <w:tcBorders/>
            <w:vAlign w:val="center"/>
          </w:tcPr>
          <w:p>
            <w:pPr>
              <w:pStyle w:val="TableContents"/>
              <w:bidi w:val="0"/>
              <w:spacing w:before="0" w:after="283"/>
              <w:jc w:val="left"/>
              <w:rPr/>
            </w:pPr>
            <w:r>
              <w:rPr/>
              <w:t>Compensatory Payment</w:t>
            </w:r>
          </w:p>
        </w:tc>
      </w:tr>
      <w:tr>
        <w:trPr/>
        <w:tc>
          <w:tcPr>
            <w:tcW w:w="1033" w:type="dxa"/>
            <w:tcBorders/>
            <w:vAlign w:val="center"/>
          </w:tcPr>
          <w:p>
            <w:pPr>
              <w:pStyle w:val="TableContents"/>
              <w:bidi w:val="0"/>
              <w:spacing w:before="0" w:after="283"/>
              <w:jc w:val="left"/>
              <w:rPr/>
            </w:pPr>
            <w:r>
              <w:rPr/>
              <w:t>Common Stock</w:t>
            </w:r>
          </w:p>
        </w:tc>
        <w:tc>
          <w:tcPr>
            <w:tcW w:w="1078" w:type="dxa"/>
            <w:tcBorders/>
            <w:vAlign w:val="center"/>
          </w:tcPr>
          <w:p>
            <w:pPr>
              <w:pStyle w:val="TableContents"/>
              <w:bidi w:val="0"/>
              <w:spacing w:before="0" w:after="283"/>
              <w:jc w:val="left"/>
              <w:rPr/>
            </w:pPr>
            <w:r>
              <w:rPr/>
              <w:t>03/15/2017</w:t>
            </w:r>
          </w:p>
        </w:tc>
        <w:tc>
          <w:tcPr>
            <w:tcW w:w="1365" w:type="dxa"/>
            <w:tcBorders/>
            <w:vAlign w:val="center"/>
          </w:tcPr>
          <w:p>
            <w:pPr>
              <w:pStyle w:val="TableContents"/>
              <w:bidi w:val="0"/>
              <w:spacing w:before="0" w:after="283"/>
              <w:jc w:val="left"/>
              <w:rPr/>
            </w:pPr>
            <w:r>
              <w:rPr/>
              <w:t>Stock Bonus</w:t>
            </w:r>
          </w:p>
        </w:tc>
        <w:tc>
          <w:tcPr>
            <w:tcW w:w="1465" w:type="dxa"/>
            <w:tcBorders/>
            <w:vAlign w:val="center"/>
          </w:tcPr>
          <w:p>
            <w:pPr>
              <w:pStyle w:val="TableContents"/>
              <w:bidi w:val="0"/>
              <w:spacing w:before="0" w:after="283"/>
              <w:jc w:val="left"/>
              <w:rPr/>
            </w:pPr>
            <w:r>
              <w:rPr/>
              <w:t>Forum Energy Technologies, Inc.</w:t>
            </w:r>
          </w:p>
        </w:tc>
        <w:tc>
          <w:tcPr>
            <w:tcW w:w="502"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c>
          <w:tcPr>
            <w:tcW w:w="107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pPr>
            <w:r>
              <w:rPr/>
              <w:t>456</w:t>
            </w:r>
          </w:p>
        </w:tc>
        <w:tc>
          <w:tcPr>
            <w:tcW w:w="1018" w:type="dxa"/>
            <w:tcBorders/>
            <w:vAlign w:val="center"/>
          </w:tcPr>
          <w:p>
            <w:pPr>
              <w:pStyle w:val="TableContents"/>
              <w:bidi w:val="0"/>
              <w:spacing w:before="0" w:after="283"/>
              <w:jc w:val="left"/>
              <w:rPr/>
            </w:pPr>
            <w:r>
              <w:rPr/>
              <w:t>03/15/2017</w:t>
            </w:r>
          </w:p>
        </w:tc>
        <w:tc>
          <w:tcPr>
            <w:tcW w:w="1564" w:type="dxa"/>
            <w:tcBorders/>
            <w:vAlign w:val="center"/>
          </w:tcPr>
          <w:p>
            <w:pPr>
              <w:pStyle w:val="TableContents"/>
              <w:bidi w:val="0"/>
              <w:spacing w:before="0" w:after="283"/>
              <w:jc w:val="left"/>
              <w:rPr/>
            </w:pPr>
            <w:r>
              <w:rPr/>
              <w:t>Compensatory Payment</w:t>
            </w:r>
          </w:p>
        </w:tc>
      </w:tr>
      <w:tr>
        <w:trPr/>
        <w:tc>
          <w:tcPr>
            <w:tcW w:w="1033" w:type="dxa"/>
            <w:tcBorders/>
            <w:vAlign w:val="center"/>
          </w:tcPr>
          <w:p>
            <w:pPr>
              <w:pStyle w:val="TableContents"/>
              <w:bidi w:val="0"/>
              <w:spacing w:before="0" w:after="283"/>
              <w:jc w:val="left"/>
              <w:rPr/>
            </w:pPr>
            <w:r>
              <w:rPr/>
              <w:t>Common Stock</w:t>
            </w:r>
          </w:p>
        </w:tc>
        <w:tc>
          <w:tcPr>
            <w:tcW w:w="1078" w:type="dxa"/>
            <w:tcBorders/>
            <w:vAlign w:val="center"/>
          </w:tcPr>
          <w:p>
            <w:pPr>
              <w:pStyle w:val="TableContents"/>
              <w:bidi w:val="0"/>
              <w:spacing w:before="0" w:after="283"/>
              <w:jc w:val="left"/>
              <w:rPr/>
            </w:pPr>
            <w:r>
              <w:rPr/>
              <w:t>02/15/2018</w:t>
            </w:r>
          </w:p>
        </w:tc>
        <w:tc>
          <w:tcPr>
            <w:tcW w:w="1365" w:type="dxa"/>
            <w:tcBorders/>
            <w:vAlign w:val="center"/>
          </w:tcPr>
          <w:p>
            <w:pPr>
              <w:pStyle w:val="TableContents"/>
              <w:bidi w:val="0"/>
              <w:spacing w:before="0" w:after="283"/>
              <w:jc w:val="left"/>
              <w:rPr/>
            </w:pPr>
            <w:r>
              <w:rPr/>
              <w:t>Stock Bonus</w:t>
            </w:r>
          </w:p>
        </w:tc>
        <w:tc>
          <w:tcPr>
            <w:tcW w:w="1465" w:type="dxa"/>
            <w:tcBorders/>
            <w:vAlign w:val="center"/>
          </w:tcPr>
          <w:p>
            <w:pPr>
              <w:pStyle w:val="TableContents"/>
              <w:bidi w:val="0"/>
              <w:spacing w:before="0" w:after="283"/>
              <w:jc w:val="left"/>
              <w:rPr/>
            </w:pPr>
            <w:r>
              <w:rPr/>
              <w:t>Forum Energy Technologies, Inc.</w:t>
            </w:r>
          </w:p>
        </w:tc>
        <w:tc>
          <w:tcPr>
            <w:tcW w:w="502"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p>
        </w:tc>
        <w:tc>
          <w:tcPr>
            <w:tcW w:w="107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pPr>
            <w:r>
              <w:rPr/>
              <w:t>305</w:t>
            </w:r>
          </w:p>
        </w:tc>
        <w:tc>
          <w:tcPr>
            <w:tcW w:w="1018" w:type="dxa"/>
            <w:tcBorders/>
            <w:vAlign w:val="center"/>
          </w:tcPr>
          <w:p>
            <w:pPr>
              <w:pStyle w:val="TableContents"/>
              <w:bidi w:val="0"/>
              <w:spacing w:before="0" w:after="283"/>
              <w:jc w:val="left"/>
              <w:rPr/>
            </w:pPr>
            <w:r>
              <w:rPr/>
              <w:t>02/15/2018</w:t>
            </w:r>
          </w:p>
        </w:tc>
        <w:tc>
          <w:tcPr>
            <w:tcW w:w="1564" w:type="dxa"/>
            <w:tcBorders/>
            <w:vAlign w:val="center"/>
          </w:tcPr>
          <w:p>
            <w:pPr>
              <w:pStyle w:val="TableContents"/>
              <w:bidi w:val="0"/>
              <w:spacing w:before="0" w:after="283"/>
              <w:jc w:val="left"/>
              <w:rPr/>
            </w:pPr>
            <w:r>
              <w:rPr/>
              <w:t>Compensatory Payment</w:t>
            </w:r>
          </w:p>
        </w:tc>
      </w:tr>
      <w:tr>
        <w:trPr/>
        <w:tc>
          <w:tcPr>
            <w:tcW w:w="1033" w:type="dxa"/>
            <w:tcBorders/>
            <w:vAlign w:val="center"/>
          </w:tcPr>
          <w:p>
            <w:pPr>
              <w:pStyle w:val="TableContents"/>
              <w:bidi w:val="0"/>
              <w:spacing w:before="0" w:after="283"/>
              <w:jc w:val="left"/>
              <w:rPr/>
            </w:pPr>
            <w:r>
              <w:rPr/>
              <w:t>Common Stock</w:t>
            </w:r>
          </w:p>
        </w:tc>
        <w:tc>
          <w:tcPr>
            <w:tcW w:w="1078" w:type="dxa"/>
            <w:tcBorders/>
            <w:vAlign w:val="center"/>
          </w:tcPr>
          <w:p>
            <w:pPr>
              <w:pStyle w:val="TableContents"/>
              <w:bidi w:val="0"/>
              <w:spacing w:before="0" w:after="283"/>
              <w:jc w:val="left"/>
              <w:rPr/>
            </w:pPr>
            <w:r>
              <w:rPr/>
              <w:t>02/19/2018</w:t>
            </w:r>
          </w:p>
        </w:tc>
        <w:tc>
          <w:tcPr>
            <w:tcW w:w="1365" w:type="dxa"/>
            <w:tcBorders/>
            <w:vAlign w:val="center"/>
          </w:tcPr>
          <w:p>
            <w:pPr>
              <w:pStyle w:val="TableContents"/>
              <w:bidi w:val="0"/>
              <w:spacing w:before="0" w:after="283"/>
              <w:jc w:val="left"/>
              <w:rPr/>
            </w:pPr>
            <w:r>
              <w:rPr/>
              <w:t>Stock Bonus</w:t>
            </w:r>
          </w:p>
        </w:tc>
        <w:tc>
          <w:tcPr>
            <w:tcW w:w="1465" w:type="dxa"/>
            <w:tcBorders/>
            <w:vAlign w:val="center"/>
          </w:tcPr>
          <w:p>
            <w:pPr>
              <w:pStyle w:val="TableContents"/>
              <w:bidi w:val="0"/>
              <w:spacing w:before="0" w:after="283"/>
              <w:jc w:val="left"/>
              <w:rPr/>
            </w:pPr>
            <w:r>
              <w:rPr/>
              <w:t>Forum Energy Technologies, Inc.</w:t>
            </w:r>
          </w:p>
        </w:tc>
        <w:tc>
          <w:tcPr>
            <w:tcW w:w="502"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c>
          <w:tcPr>
            <w:tcW w:w="107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pPr>
            <w:r>
              <w:rPr/>
              <w:t>129</w:t>
            </w:r>
          </w:p>
        </w:tc>
        <w:tc>
          <w:tcPr>
            <w:tcW w:w="1018" w:type="dxa"/>
            <w:tcBorders/>
            <w:vAlign w:val="center"/>
          </w:tcPr>
          <w:p>
            <w:pPr>
              <w:pStyle w:val="TableContents"/>
              <w:bidi w:val="0"/>
              <w:spacing w:before="0" w:after="283"/>
              <w:jc w:val="left"/>
              <w:rPr/>
            </w:pPr>
            <w:r>
              <w:rPr/>
              <w:t>02/19/2018</w:t>
            </w:r>
          </w:p>
        </w:tc>
        <w:tc>
          <w:tcPr>
            <w:tcW w:w="1564" w:type="dxa"/>
            <w:tcBorders/>
            <w:vAlign w:val="center"/>
          </w:tcPr>
          <w:p>
            <w:pPr>
              <w:pStyle w:val="TableContents"/>
              <w:bidi w:val="0"/>
              <w:spacing w:before="0" w:after="283"/>
              <w:jc w:val="left"/>
              <w:rPr/>
            </w:pPr>
            <w:r>
              <w:rPr/>
              <w:t>Compensatory Payment</w:t>
            </w:r>
          </w:p>
        </w:tc>
      </w:tr>
      <w:tr>
        <w:trPr/>
        <w:tc>
          <w:tcPr>
            <w:tcW w:w="1033" w:type="dxa"/>
            <w:tcBorders/>
            <w:vAlign w:val="center"/>
          </w:tcPr>
          <w:p>
            <w:pPr>
              <w:pStyle w:val="TableContents"/>
              <w:bidi w:val="0"/>
              <w:spacing w:before="0" w:after="283"/>
              <w:jc w:val="left"/>
              <w:rPr/>
            </w:pPr>
            <w:r>
              <w:rPr/>
              <w:t>Common Stock</w:t>
            </w:r>
          </w:p>
        </w:tc>
        <w:tc>
          <w:tcPr>
            <w:tcW w:w="1078" w:type="dxa"/>
            <w:tcBorders/>
            <w:vAlign w:val="center"/>
          </w:tcPr>
          <w:p>
            <w:pPr>
              <w:pStyle w:val="TableContents"/>
              <w:bidi w:val="0"/>
              <w:spacing w:before="0" w:after="283"/>
              <w:jc w:val="left"/>
              <w:rPr/>
            </w:pPr>
            <w:r>
              <w:rPr/>
              <w:t>02/20/2018</w:t>
            </w:r>
          </w:p>
        </w:tc>
        <w:tc>
          <w:tcPr>
            <w:tcW w:w="1365" w:type="dxa"/>
            <w:tcBorders/>
            <w:vAlign w:val="center"/>
          </w:tcPr>
          <w:p>
            <w:pPr>
              <w:pStyle w:val="TableContents"/>
              <w:bidi w:val="0"/>
              <w:spacing w:before="0" w:after="283"/>
              <w:jc w:val="left"/>
              <w:rPr/>
            </w:pPr>
            <w:r>
              <w:rPr/>
              <w:t>Stock Bonus</w:t>
            </w:r>
          </w:p>
        </w:tc>
        <w:tc>
          <w:tcPr>
            <w:tcW w:w="1465" w:type="dxa"/>
            <w:tcBorders/>
            <w:vAlign w:val="center"/>
          </w:tcPr>
          <w:p>
            <w:pPr>
              <w:pStyle w:val="TableContents"/>
              <w:bidi w:val="0"/>
              <w:spacing w:before="0" w:after="283"/>
              <w:jc w:val="left"/>
              <w:rPr/>
            </w:pPr>
            <w:r>
              <w:rPr/>
              <w:t>Forum Energy Technologies, Inc.</w:t>
            </w:r>
          </w:p>
        </w:tc>
        <w:tc>
          <w:tcPr>
            <w:tcW w:w="502"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c>
          <w:tcPr>
            <w:tcW w:w="107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pPr>
            <w:r>
              <w:rPr/>
              <w:t>110</w:t>
            </w:r>
          </w:p>
        </w:tc>
        <w:tc>
          <w:tcPr>
            <w:tcW w:w="1018" w:type="dxa"/>
            <w:tcBorders/>
            <w:vAlign w:val="center"/>
          </w:tcPr>
          <w:p>
            <w:pPr>
              <w:pStyle w:val="TableContents"/>
              <w:bidi w:val="0"/>
              <w:spacing w:before="0" w:after="283"/>
              <w:jc w:val="left"/>
              <w:rPr/>
            </w:pPr>
            <w:r>
              <w:rPr/>
              <w:t>02/20/2018</w:t>
            </w:r>
          </w:p>
        </w:tc>
        <w:tc>
          <w:tcPr>
            <w:tcW w:w="1564" w:type="dxa"/>
            <w:tcBorders/>
            <w:vAlign w:val="center"/>
          </w:tcPr>
          <w:p>
            <w:pPr>
              <w:pStyle w:val="TableContents"/>
              <w:bidi w:val="0"/>
              <w:spacing w:before="0" w:after="283"/>
              <w:jc w:val="left"/>
              <w:rPr/>
            </w:pPr>
            <w:r>
              <w:rPr/>
              <w:t>Compensatory Payment</w:t>
            </w:r>
          </w:p>
        </w:tc>
      </w:tr>
      <w:tr>
        <w:trPr/>
        <w:tc>
          <w:tcPr>
            <w:tcW w:w="1033" w:type="dxa"/>
            <w:tcBorders/>
            <w:vAlign w:val="center"/>
          </w:tcPr>
          <w:p>
            <w:pPr>
              <w:pStyle w:val="TableContents"/>
              <w:bidi w:val="0"/>
              <w:spacing w:before="0" w:after="283"/>
              <w:jc w:val="left"/>
              <w:rPr/>
            </w:pPr>
            <w:r>
              <w:rPr/>
              <w:t>Common Stock</w:t>
            </w:r>
          </w:p>
        </w:tc>
        <w:tc>
          <w:tcPr>
            <w:tcW w:w="1078" w:type="dxa"/>
            <w:tcBorders/>
            <w:vAlign w:val="center"/>
          </w:tcPr>
          <w:p>
            <w:pPr>
              <w:pStyle w:val="TableContents"/>
              <w:bidi w:val="0"/>
              <w:spacing w:before="0" w:after="283"/>
              <w:jc w:val="left"/>
              <w:rPr/>
            </w:pPr>
            <w:r>
              <w:rPr/>
              <w:t>03/07/2018</w:t>
            </w:r>
          </w:p>
        </w:tc>
        <w:tc>
          <w:tcPr>
            <w:tcW w:w="1365" w:type="dxa"/>
            <w:tcBorders/>
            <w:vAlign w:val="center"/>
          </w:tcPr>
          <w:p>
            <w:pPr>
              <w:pStyle w:val="TableContents"/>
              <w:bidi w:val="0"/>
              <w:spacing w:before="0" w:after="283"/>
              <w:jc w:val="left"/>
              <w:rPr/>
            </w:pPr>
            <w:r>
              <w:rPr/>
              <w:t>Stock Bonus</w:t>
            </w:r>
          </w:p>
        </w:tc>
        <w:tc>
          <w:tcPr>
            <w:tcW w:w="1465" w:type="dxa"/>
            <w:tcBorders/>
            <w:vAlign w:val="center"/>
          </w:tcPr>
          <w:p>
            <w:pPr>
              <w:pStyle w:val="TableContents"/>
              <w:bidi w:val="0"/>
              <w:spacing w:before="0" w:after="283"/>
              <w:jc w:val="left"/>
              <w:rPr/>
            </w:pPr>
            <w:r>
              <w:rPr/>
              <w:t>Forum Energy Technologies, Inc.</w:t>
            </w:r>
          </w:p>
        </w:tc>
        <w:tc>
          <w:tcPr>
            <w:tcW w:w="502"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p>
        </w:tc>
        <w:tc>
          <w:tcPr>
            <w:tcW w:w="107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pPr>
            <w:r>
              <w:rPr/>
              <w:t>47</w:t>
            </w:r>
          </w:p>
        </w:tc>
        <w:tc>
          <w:tcPr>
            <w:tcW w:w="1018" w:type="dxa"/>
            <w:tcBorders/>
            <w:vAlign w:val="center"/>
          </w:tcPr>
          <w:p>
            <w:pPr>
              <w:pStyle w:val="TableContents"/>
              <w:bidi w:val="0"/>
              <w:spacing w:before="0" w:after="283"/>
              <w:jc w:val="left"/>
              <w:rPr/>
            </w:pPr>
            <w:r>
              <w:rPr/>
              <w:t>03/07/2018</w:t>
            </w:r>
          </w:p>
        </w:tc>
        <w:tc>
          <w:tcPr>
            <w:tcW w:w="1564" w:type="dxa"/>
            <w:tcBorders/>
            <w:vAlign w:val="center"/>
          </w:tcPr>
          <w:p>
            <w:pPr>
              <w:pStyle w:val="TableContents"/>
              <w:bidi w:val="0"/>
              <w:spacing w:before="0" w:after="283"/>
              <w:jc w:val="left"/>
              <w:rPr/>
            </w:pPr>
            <w:r>
              <w:rPr/>
              <w:t>Compensatory Payment</w:t>
            </w:r>
          </w:p>
        </w:tc>
      </w:tr>
      <w:tr>
        <w:trPr/>
        <w:tc>
          <w:tcPr>
            <w:tcW w:w="1033" w:type="dxa"/>
            <w:tcBorders/>
            <w:vAlign w:val="center"/>
          </w:tcPr>
          <w:p>
            <w:pPr>
              <w:pStyle w:val="TableContents"/>
              <w:bidi w:val="0"/>
              <w:spacing w:before="0" w:after="283"/>
              <w:jc w:val="left"/>
              <w:rPr/>
            </w:pPr>
            <w:r>
              <w:rPr/>
              <w:t>Common Stock</w:t>
            </w:r>
          </w:p>
        </w:tc>
        <w:tc>
          <w:tcPr>
            <w:tcW w:w="1078" w:type="dxa"/>
            <w:tcBorders/>
            <w:vAlign w:val="center"/>
          </w:tcPr>
          <w:p>
            <w:pPr>
              <w:pStyle w:val="TableContents"/>
              <w:bidi w:val="0"/>
              <w:spacing w:before="0" w:after="283"/>
              <w:jc w:val="left"/>
              <w:rPr/>
            </w:pPr>
            <w:r>
              <w:rPr/>
              <w:t>06/01/2018</w:t>
            </w:r>
          </w:p>
        </w:tc>
        <w:tc>
          <w:tcPr>
            <w:tcW w:w="1365" w:type="dxa"/>
            <w:tcBorders/>
            <w:vAlign w:val="center"/>
          </w:tcPr>
          <w:p>
            <w:pPr>
              <w:pStyle w:val="TableContents"/>
              <w:bidi w:val="0"/>
              <w:spacing w:before="0" w:after="283"/>
              <w:jc w:val="left"/>
              <w:rPr/>
            </w:pPr>
            <w:r>
              <w:rPr/>
              <w:t>Stock Bonus</w:t>
            </w:r>
          </w:p>
        </w:tc>
        <w:tc>
          <w:tcPr>
            <w:tcW w:w="1465" w:type="dxa"/>
            <w:tcBorders/>
            <w:vAlign w:val="center"/>
          </w:tcPr>
          <w:p>
            <w:pPr>
              <w:pStyle w:val="TableContents"/>
              <w:bidi w:val="0"/>
              <w:spacing w:before="0" w:after="283"/>
              <w:jc w:val="left"/>
              <w:rPr/>
            </w:pPr>
            <w:r>
              <w:rPr/>
              <w:t>Forum Energy Technologies, Inc.</w:t>
            </w:r>
          </w:p>
        </w:tc>
        <w:tc>
          <w:tcPr>
            <w:tcW w:w="502"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c>
          <w:tcPr>
            <w:tcW w:w="107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pPr>
            <w:r>
              <w:rPr/>
              <w:t>58</w:t>
            </w:r>
          </w:p>
        </w:tc>
        <w:tc>
          <w:tcPr>
            <w:tcW w:w="1018" w:type="dxa"/>
            <w:tcBorders/>
            <w:vAlign w:val="center"/>
          </w:tcPr>
          <w:p>
            <w:pPr>
              <w:pStyle w:val="TableContents"/>
              <w:bidi w:val="0"/>
              <w:spacing w:before="0" w:after="283"/>
              <w:jc w:val="left"/>
              <w:rPr/>
            </w:pPr>
            <w:r>
              <w:rPr/>
              <w:t>06/01/2018</w:t>
            </w:r>
          </w:p>
        </w:tc>
        <w:tc>
          <w:tcPr>
            <w:tcW w:w="1564" w:type="dxa"/>
            <w:tcBorders/>
            <w:vAlign w:val="center"/>
          </w:tcPr>
          <w:p>
            <w:pPr>
              <w:pStyle w:val="TableContents"/>
              <w:bidi w:val="0"/>
              <w:spacing w:before="0" w:after="283"/>
              <w:jc w:val="left"/>
              <w:rPr/>
            </w:pPr>
            <w:r>
              <w:rPr/>
              <w:t>Compensatory Payment</w:t>
            </w:r>
          </w:p>
        </w:tc>
      </w:tr>
      <w:tr>
        <w:trPr/>
        <w:tc>
          <w:tcPr>
            <w:tcW w:w="1033" w:type="dxa"/>
            <w:tcBorders/>
            <w:vAlign w:val="center"/>
          </w:tcPr>
          <w:p>
            <w:pPr>
              <w:pStyle w:val="TableContents"/>
              <w:bidi w:val="0"/>
              <w:spacing w:before="0" w:after="283"/>
              <w:jc w:val="left"/>
              <w:rPr/>
            </w:pPr>
            <w:r>
              <w:rPr/>
              <w:t>Common Stock</w:t>
            </w:r>
          </w:p>
        </w:tc>
        <w:tc>
          <w:tcPr>
            <w:tcW w:w="1078" w:type="dxa"/>
            <w:tcBorders/>
            <w:vAlign w:val="center"/>
          </w:tcPr>
          <w:p>
            <w:pPr>
              <w:pStyle w:val="TableContents"/>
              <w:bidi w:val="0"/>
              <w:spacing w:before="0" w:after="283"/>
              <w:jc w:val="left"/>
              <w:rPr/>
            </w:pPr>
            <w:r>
              <w:rPr/>
              <w:t>02/16/2019</w:t>
            </w:r>
          </w:p>
        </w:tc>
        <w:tc>
          <w:tcPr>
            <w:tcW w:w="1365" w:type="dxa"/>
            <w:tcBorders/>
            <w:vAlign w:val="center"/>
          </w:tcPr>
          <w:p>
            <w:pPr>
              <w:pStyle w:val="TableContents"/>
              <w:bidi w:val="0"/>
              <w:spacing w:before="0" w:after="283"/>
              <w:jc w:val="left"/>
              <w:rPr/>
            </w:pPr>
            <w:r>
              <w:rPr/>
              <w:t>Stock Bonus</w:t>
            </w:r>
          </w:p>
        </w:tc>
        <w:tc>
          <w:tcPr>
            <w:tcW w:w="1465" w:type="dxa"/>
            <w:tcBorders/>
            <w:vAlign w:val="center"/>
          </w:tcPr>
          <w:p>
            <w:pPr>
              <w:pStyle w:val="TableContents"/>
              <w:bidi w:val="0"/>
              <w:spacing w:before="0" w:after="283"/>
              <w:jc w:val="left"/>
              <w:rPr/>
            </w:pPr>
            <w:r>
              <w:rPr/>
              <w:t>Forum Energy Technologies, Inc.</w:t>
            </w:r>
          </w:p>
        </w:tc>
        <w:tc>
          <w:tcPr>
            <w:tcW w:w="502"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c>
          <w:tcPr>
            <w:tcW w:w="107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pPr>
            <w:r>
              <w:rPr/>
              <w:t>123</w:t>
            </w:r>
          </w:p>
        </w:tc>
        <w:tc>
          <w:tcPr>
            <w:tcW w:w="1018" w:type="dxa"/>
            <w:tcBorders/>
            <w:vAlign w:val="center"/>
          </w:tcPr>
          <w:p>
            <w:pPr>
              <w:pStyle w:val="TableContents"/>
              <w:bidi w:val="0"/>
              <w:spacing w:before="0" w:after="283"/>
              <w:jc w:val="left"/>
              <w:rPr/>
            </w:pPr>
            <w:r>
              <w:rPr/>
              <w:t>02/16/2019</w:t>
            </w:r>
          </w:p>
        </w:tc>
        <w:tc>
          <w:tcPr>
            <w:tcW w:w="1564" w:type="dxa"/>
            <w:tcBorders/>
            <w:vAlign w:val="center"/>
          </w:tcPr>
          <w:p>
            <w:pPr>
              <w:pStyle w:val="TableContents"/>
              <w:bidi w:val="0"/>
              <w:spacing w:before="0" w:after="283"/>
              <w:jc w:val="left"/>
              <w:rPr/>
            </w:pPr>
            <w:r>
              <w:rPr/>
              <w:t>Compensatory Payment</w:t>
            </w:r>
          </w:p>
        </w:tc>
      </w:tr>
      <w:tr>
        <w:trPr/>
        <w:tc>
          <w:tcPr>
            <w:tcW w:w="1033" w:type="dxa"/>
            <w:tcBorders/>
            <w:vAlign w:val="center"/>
          </w:tcPr>
          <w:p>
            <w:pPr>
              <w:pStyle w:val="TableContents"/>
              <w:bidi w:val="0"/>
              <w:spacing w:before="0" w:after="283"/>
              <w:jc w:val="left"/>
              <w:rPr/>
            </w:pPr>
            <w:r>
              <w:rPr/>
              <w:t>Common Stock</w:t>
            </w:r>
          </w:p>
        </w:tc>
        <w:tc>
          <w:tcPr>
            <w:tcW w:w="1078" w:type="dxa"/>
            <w:tcBorders/>
            <w:vAlign w:val="center"/>
          </w:tcPr>
          <w:p>
            <w:pPr>
              <w:pStyle w:val="TableContents"/>
              <w:bidi w:val="0"/>
              <w:spacing w:before="0" w:after="283"/>
              <w:jc w:val="left"/>
              <w:rPr/>
            </w:pPr>
            <w:r>
              <w:rPr/>
              <w:t>02/19/2019</w:t>
            </w:r>
          </w:p>
        </w:tc>
        <w:tc>
          <w:tcPr>
            <w:tcW w:w="1365" w:type="dxa"/>
            <w:tcBorders/>
            <w:vAlign w:val="center"/>
          </w:tcPr>
          <w:p>
            <w:pPr>
              <w:pStyle w:val="TableContents"/>
              <w:bidi w:val="0"/>
              <w:spacing w:before="0" w:after="283"/>
              <w:jc w:val="left"/>
              <w:rPr/>
            </w:pPr>
            <w:r>
              <w:rPr/>
              <w:t>Stock Bonus</w:t>
            </w:r>
          </w:p>
        </w:tc>
        <w:tc>
          <w:tcPr>
            <w:tcW w:w="1465" w:type="dxa"/>
            <w:tcBorders/>
            <w:vAlign w:val="center"/>
          </w:tcPr>
          <w:p>
            <w:pPr>
              <w:pStyle w:val="TableContents"/>
              <w:bidi w:val="0"/>
              <w:spacing w:before="0" w:after="283"/>
              <w:jc w:val="left"/>
              <w:rPr/>
            </w:pPr>
            <w:r>
              <w:rPr/>
              <w:t>Forum Energy Technologies, Inc.</w:t>
            </w:r>
          </w:p>
        </w:tc>
        <w:tc>
          <w:tcPr>
            <w:tcW w:w="502"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c>
          <w:tcPr>
            <w:tcW w:w="107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pPr>
            <w:r>
              <w:rPr/>
              <w:t>119</w:t>
            </w:r>
          </w:p>
        </w:tc>
        <w:tc>
          <w:tcPr>
            <w:tcW w:w="1018" w:type="dxa"/>
            <w:tcBorders/>
            <w:vAlign w:val="center"/>
          </w:tcPr>
          <w:p>
            <w:pPr>
              <w:pStyle w:val="TableContents"/>
              <w:bidi w:val="0"/>
              <w:spacing w:before="0" w:after="283"/>
              <w:jc w:val="left"/>
              <w:rPr/>
            </w:pPr>
            <w:r>
              <w:rPr/>
              <w:t>02/19/2019</w:t>
            </w:r>
          </w:p>
        </w:tc>
        <w:tc>
          <w:tcPr>
            <w:tcW w:w="1564" w:type="dxa"/>
            <w:tcBorders/>
            <w:vAlign w:val="center"/>
          </w:tcPr>
          <w:p>
            <w:pPr>
              <w:pStyle w:val="TableContents"/>
              <w:bidi w:val="0"/>
              <w:spacing w:before="0" w:after="283"/>
              <w:jc w:val="left"/>
              <w:rPr/>
            </w:pPr>
            <w:r>
              <w:rPr/>
              <w:t>Compensatory Payment</w:t>
            </w:r>
          </w:p>
        </w:tc>
      </w:tr>
      <w:tr>
        <w:trPr/>
        <w:tc>
          <w:tcPr>
            <w:tcW w:w="1033" w:type="dxa"/>
            <w:tcBorders/>
            <w:vAlign w:val="center"/>
          </w:tcPr>
          <w:p>
            <w:pPr>
              <w:pStyle w:val="TableContents"/>
              <w:bidi w:val="0"/>
              <w:spacing w:before="0" w:after="283"/>
              <w:jc w:val="left"/>
              <w:rPr/>
            </w:pPr>
            <w:r>
              <w:rPr/>
              <w:t>Common Stock</w:t>
            </w:r>
          </w:p>
        </w:tc>
        <w:tc>
          <w:tcPr>
            <w:tcW w:w="1078" w:type="dxa"/>
            <w:tcBorders/>
            <w:vAlign w:val="center"/>
          </w:tcPr>
          <w:p>
            <w:pPr>
              <w:pStyle w:val="TableContents"/>
              <w:bidi w:val="0"/>
              <w:spacing w:before="0" w:after="283"/>
              <w:jc w:val="left"/>
              <w:rPr/>
            </w:pPr>
            <w:r>
              <w:rPr/>
              <w:t>02/20/2019</w:t>
            </w:r>
          </w:p>
        </w:tc>
        <w:tc>
          <w:tcPr>
            <w:tcW w:w="1365" w:type="dxa"/>
            <w:tcBorders/>
            <w:vAlign w:val="center"/>
          </w:tcPr>
          <w:p>
            <w:pPr>
              <w:pStyle w:val="TableContents"/>
              <w:bidi w:val="0"/>
              <w:spacing w:before="0" w:after="283"/>
              <w:jc w:val="left"/>
              <w:rPr/>
            </w:pPr>
            <w:r>
              <w:rPr/>
              <w:t>Stock Bonus</w:t>
            </w:r>
          </w:p>
        </w:tc>
        <w:tc>
          <w:tcPr>
            <w:tcW w:w="1465" w:type="dxa"/>
            <w:tcBorders/>
            <w:vAlign w:val="center"/>
          </w:tcPr>
          <w:p>
            <w:pPr>
              <w:pStyle w:val="TableContents"/>
              <w:bidi w:val="0"/>
              <w:spacing w:before="0" w:after="283"/>
              <w:jc w:val="left"/>
              <w:rPr/>
            </w:pPr>
            <w:r>
              <w:rPr/>
              <w:t>Forum Energy Technologies, Inc.</w:t>
            </w:r>
          </w:p>
        </w:tc>
        <w:tc>
          <w:tcPr>
            <w:tcW w:w="502"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c>
          <w:tcPr>
            <w:tcW w:w="107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pPr>
            <w:r>
              <w:rPr/>
              <w:t>102</w:t>
            </w:r>
          </w:p>
        </w:tc>
        <w:tc>
          <w:tcPr>
            <w:tcW w:w="1018" w:type="dxa"/>
            <w:tcBorders/>
            <w:vAlign w:val="center"/>
          </w:tcPr>
          <w:p>
            <w:pPr>
              <w:pStyle w:val="TableContents"/>
              <w:bidi w:val="0"/>
              <w:spacing w:before="0" w:after="283"/>
              <w:jc w:val="left"/>
              <w:rPr/>
            </w:pPr>
            <w:r>
              <w:rPr/>
              <w:t>02/20/2019</w:t>
            </w:r>
          </w:p>
        </w:tc>
        <w:tc>
          <w:tcPr>
            <w:tcW w:w="1564" w:type="dxa"/>
            <w:tcBorders/>
            <w:vAlign w:val="center"/>
          </w:tcPr>
          <w:p>
            <w:pPr>
              <w:pStyle w:val="TableContents"/>
              <w:bidi w:val="0"/>
              <w:spacing w:before="0" w:after="283"/>
              <w:jc w:val="left"/>
              <w:rPr/>
            </w:pPr>
            <w:r>
              <w:rPr/>
              <w:t>Compensatory Payment</w:t>
            </w:r>
          </w:p>
        </w:tc>
      </w:tr>
      <w:tr>
        <w:trPr/>
        <w:tc>
          <w:tcPr>
            <w:tcW w:w="1033" w:type="dxa"/>
            <w:tcBorders/>
            <w:vAlign w:val="center"/>
          </w:tcPr>
          <w:p>
            <w:pPr>
              <w:pStyle w:val="TableContents"/>
              <w:bidi w:val="0"/>
              <w:spacing w:before="0" w:after="283"/>
              <w:jc w:val="left"/>
              <w:rPr/>
            </w:pPr>
            <w:r>
              <w:rPr/>
              <w:t>Common Stock</w:t>
            </w:r>
          </w:p>
        </w:tc>
        <w:tc>
          <w:tcPr>
            <w:tcW w:w="1078" w:type="dxa"/>
            <w:tcBorders/>
            <w:vAlign w:val="center"/>
          </w:tcPr>
          <w:p>
            <w:pPr>
              <w:pStyle w:val="TableContents"/>
              <w:bidi w:val="0"/>
              <w:spacing w:before="0" w:after="283"/>
              <w:jc w:val="left"/>
              <w:rPr/>
            </w:pPr>
            <w:r>
              <w:rPr/>
              <w:t>06/01/2019</w:t>
            </w:r>
          </w:p>
        </w:tc>
        <w:tc>
          <w:tcPr>
            <w:tcW w:w="1365" w:type="dxa"/>
            <w:tcBorders/>
            <w:vAlign w:val="center"/>
          </w:tcPr>
          <w:p>
            <w:pPr>
              <w:pStyle w:val="TableContents"/>
              <w:bidi w:val="0"/>
              <w:spacing w:before="0" w:after="283"/>
              <w:jc w:val="left"/>
              <w:rPr/>
            </w:pPr>
            <w:r>
              <w:rPr/>
              <w:t>Stock Bonus</w:t>
            </w:r>
          </w:p>
        </w:tc>
        <w:tc>
          <w:tcPr>
            <w:tcW w:w="1465" w:type="dxa"/>
            <w:tcBorders/>
            <w:vAlign w:val="center"/>
          </w:tcPr>
          <w:p>
            <w:pPr>
              <w:pStyle w:val="TableContents"/>
              <w:bidi w:val="0"/>
              <w:spacing w:before="0" w:after="283"/>
              <w:jc w:val="left"/>
              <w:rPr/>
            </w:pPr>
            <w:r>
              <w:rPr/>
              <w:t>Forum Energy Technologies, Inc.</w:t>
            </w:r>
          </w:p>
        </w:tc>
        <w:tc>
          <w:tcPr>
            <w:tcW w:w="502"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p>
        </w:tc>
        <w:tc>
          <w:tcPr>
            <w:tcW w:w="107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pPr>
            <w:r>
              <w:rPr/>
              <w:t>66</w:t>
            </w:r>
          </w:p>
        </w:tc>
        <w:tc>
          <w:tcPr>
            <w:tcW w:w="1018" w:type="dxa"/>
            <w:tcBorders/>
            <w:vAlign w:val="center"/>
          </w:tcPr>
          <w:p>
            <w:pPr>
              <w:pStyle w:val="TableContents"/>
              <w:bidi w:val="0"/>
              <w:spacing w:before="0" w:after="283"/>
              <w:jc w:val="left"/>
              <w:rPr/>
            </w:pPr>
            <w:r>
              <w:rPr/>
              <w:t>06/01/2019</w:t>
            </w:r>
          </w:p>
        </w:tc>
        <w:tc>
          <w:tcPr>
            <w:tcW w:w="1564" w:type="dxa"/>
            <w:tcBorders/>
            <w:vAlign w:val="center"/>
          </w:tcPr>
          <w:p>
            <w:pPr>
              <w:pStyle w:val="TableContents"/>
              <w:bidi w:val="0"/>
              <w:spacing w:before="0" w:after="283"/>
              <w:jc w:val="left"/>
              <w:rPr/>
            </w:pPr>
            <w:r>
              <w:rPr/>
              <w:t>Compensatory Payment</w:t>
            </w:r>
          </w:p>
        </w:tc>
      </w:tr>
      <w:tr>
        <w:trPr/>
        <w:tc>
          <w:tcPr>
            <w:tcW w:w="1033" w:type="dxa"/>
            <w:tcBorders/>
            <w:vAlign w:val="center"/>
          </w:tcPr>
          <w:p>
            <w:pPr>
              <w:pStyle w:val="TableContents"/>
              <w:bidi w:val="0"/>
              <w:spacing w:before="0" w:after="283"/>
              <w:jc w:val="left"/>
              <w:rPr/>
            </w:pPr>
            <w:r>
              <w:rPr/>
              <w:t>Common Stock</w:t>
            </w:r>
          </w:p>
        </w:tc>
        <w:tc>
          <w:tcPr>
            <w:tcW w:w="1078" w:type="dxa"/>
            <w:tcBorders/>
            <w:vAlign w:val="center"/>
          </w:tcPr>
          <w:p>
            <w:pPr>
              <w:pStyle w:val="TableContents"/>
              <w:bidi w:val="0"/>
              <w:spacing w:before="0" w:after="283"/>
              <w:jc w:val="left"/>
              <w:rPr/>
            </w:pPr>
            <w:r>
              <w:rPr/>
              <w:t>01/24/2025</w:t>
            </w:r>
          </w:p>
        </w:tc>
        <w:tc>
          <w:tcPr>
            <w:tcW w:w="1365" w:type="dxa"/>
            <w:tcBorders/>
            <w:vAlign w:val="center"/>
          </w:tcPr>
          <w:p>
            <w:pPr>
              <w:pStyle w:val="TableContents"/>
              <w:bidi w:val="0"/>
              <w:spacing w:before="0" w:after="283"/>
              <w:jc w:val="left"/>
              <w:rPr/>
            </w:pPr>
            <w:r>
              <w:rPr/>
              <w:t>Stock Bonus</w:t>
            </w:r>
          </w:p>
        </w:tc>
        <w:tc>
          <w:tcPr>
            <w:tcW w:w="1465" w:type="dxa"/>
            <w:tcBorders/>
            <w:vAlign w:val="center"/>
          </w:tcPr>
          <w:p>
            <w:pPr>
              <w:pStyle w:val="TableContents"/>
              <w:bidi w:val="0"/>
              <w:spacing w:before="0" w:after="283"/>
              <w:jc w:val="left"/>
              <w:rPr/>
            </w:pPr>
            <w:r>
              <w:rPr/>
              <w:t>Forum Energy Technologies, Inc.</w:t>
            </w:r>
          </w:p>
        </w:tc>
        <w:tc>
          <w:tcPr>
            <w:tcW w:w="502"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c>
          <w:tcPr>
            <w:tcW w:w="107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pPr>
            <w:r>
              <w:rPr/>
              <w:t>4152</w:t>
            </w:r>
          </w:p>
        </w:tc>
        <w:tc>
          <w:tcPr>
            <w:tcW w:w="1018" w:type="dxa"/>
            <w:tcBorders/>
            <w:vAlign w:val="center"/>
          </w:tcPr>
          <w:p>
            <w:pPr>
              <w:pStyle w:val="TableContents"/>
              <w:bidi w:val="0"/>
              <w:spacing w:before="0" w:after="283"/>
              <w:jc w:val="left"/>
              <w:rPr/>
            </w:pPr>
            <w:r>
              <w:rPr/>
              <w:t>01/24/2025</w:t>
            </w:r>
          </w:p>
        </w:tc>
        <w:tc>
          <w:tcPr>
            <w:tcW w:w="1564" w:type="dxa"/>
            <w:tcBorders/>
            <w:vAlign w:val="center"/>
          </w:tcPr>
          <w:p>
            <w:pPr>
              <w:pStyle w:val="TableContents"/>
              <w:bidi w:val="0"/>
              <w:spacing w:before="0" w:after="283"/>
              <w:jc w:val="left"/>
              <w:rPr/>
            </w:pPr>
            <w:r>
              <w:rPr/>
              <w:t>Compensatory Payment</w:t>
            </w:r>
          </w:p>
        </w:tc>
      </w:tr>
      <w:tr>
        <w:trPr/>
        <w:tc>
          <w:tcPr>
            <w:tcW w:w="1033" w:type="dxa"/>
            <w:tcBorders/>
            <w:vAlign w:val="center"/>
          </w:tcPr>
          <w:p>
            <w:pPr>
              <w:pStyle w:val="TableContents"/>
              <w:bidi w:val="0"/>
              <w:spacing w:before="0" w:after="283"/>
              <w:jc w:val="left"/>
              <w:rPr/>
            </w:pPr>
            <w:r>
              <w:rPr/>
              <w:t>Common Stock</w:t>
            </w:r>
          </w:p>
        </w:tc>
        <w:tc>
          <w:tcPr>
            <w:tcW w:w="1078" w:type="dxa"/>
            <w:tcBorders/>
            <w:vAlign w:val="center"/>
          </w:tcPr>
          <w:p>
            <w:pPr>
              <w:pStyle w:val="TableContents"/>
              <w:bidi w:val="0"/>
              <w:spacing w:before="0" w:after="283"/>
              <w:jc w:val="left"/>
              <w:rPr/>
            </w:pPr>
            <w:r>
              <w:rPr/>
              <w:t>02/17/2025</w:t>
            </w:r>
          </w:p>
        </w:tc>
        <w:tc>
          <w:tcPr>
            <w:tcW w:w="1365" w:type="dxa"/>
            <w:tcBorders/>
            <w:vAlign w:val="center"/>
          </w:tcPr>
          <w:p>
            <w:pPr>
              <w:pStyle w:val="TableContents"/>
              <w:bidi w:val="0"/>
              <w:spacing w:before="0" w:after="283"/>
              <w:jc w:val="left"/>
              <w:rPr/>
            </w:pPr>
            <w:r>
              <w:rPr/>
              <w:t>Stock Bonus</w:t>
            </w:r>
          </w:p>
        </w:tc>
        <w:tc>
          <w:tcPr>
            <w:tcW w:w="1465" w:type="dxa"/>
            <w:tcBorders/>
            <w:vAlign w:val="center"/>
          </w:tcPr>
          <w:p>
            <w:pPr>
              <w:pStyle w:val="TableContents"/>
              <w:bidi w:val="0"/>
              <w:spacing w:before="0" w:after="283"/>
              <w:jc w:val="left"/>
              <w:rPr/>
            </w:pPr>
            <w:r>
              <w:rPr/>
              <w:t>Forum Energy Technologies, Inc.</w:t>
            </w:r>
          </w:p>
        </w:tc>
        <w:tc>
          <w:tcPr>
            <w:tcW w:w="502" w:type="dxa"/>
            <w:tcBorders/>
            <w:vAlign w:val="center"/>
          </w:tcPr>
          <w:p>
            <w:pPr>
              <w:pStyle w:val="TableContents"/>
              <w:bidi w:val="0"/>
              <w:spacing w:before="0" w:after="283"/>
              <w:jc w:val="left"/>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c>
          <w:tcPr>
            <w:tcW w:w="107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pPr>
            <w:r>
              <w:rPr/>
              <w:t>6222</w:t>
            </w:r>
          </w:p>
        </w:tc>
        <w:tc>
          <w:tcPr>
            <w:tcW w:w="1018" w:type="dxa"/>
            <w:tcBorders/>
            <w:vAlign w:val="center"/>
          </w:tcPr>
          <w:p>
            <w:pPr>
              <w:pStyle w:val="TableContents"/>
              <w:bidi w:val="0"/>
              <w:spacing w:before="0" w:after="283"/>
              <w:jc w:val="left"/>
              <w:rPr/>
            </w:pPr>
            <w:r>
              <w:rPr/>
              <w:t>02/17/2025</w:t>
            </w:r>
          </w:p>
        </w:tc>
        <w:tc>
          <w:tcPr>
            <w:tcW w:w="1564" w:type="dxa"/>
            <w:tcBorders/>
            <w:vAlign w:val="center"/>
          </w:tcPr>
          <w:p>
            <w:pPr>
              <w:pStyle w:val="TableContents"/>
              <w:bidi w:val="0"/>
              <w:spacing w:before="0" w:after="283"/>
              <w:jc w:val="left"/>
              <w:rPr/>
            </w:pPr>
            <w:r>
              <w:rPr/>
              <w:t>Compensatory Payment</w:t>
            </w:r>
          </w:p>
        </w:tc>
      </w:tr>
      <w:tr>
        <w:trPr/>
        <w:tc>
          <w:tcPr>
            <w:tcW w:w="1033" w:type="dxa"/>
            <w:tcBorders/>
            <w:vAlign w:val="center"/>
          </w:tcPr>
          <w:p>
            <w:pPr>
              <w:pStyle w:val="TableContents"/>
              <w:bidi w:val="0"/>
              <w:spacing w:before="0" w:after="283"/>
              <w:jc w:val="left"/>
              <w:rPr/>
            </w:pPr>
            <w:r>
              <w:rPr/>
              <w:t>Common Stock</w:t>
            </w:r>
          </w:p>
        </w:tc>
        <w:tc>
          <w:tcPr>
            <w:tcW w:w="1078" w:type="dxa"/>
            <w:tcBorders/>
            <w:vAlign w:val="center"/>
          </w:tcPr>
          <w:p>
            <w:pPr>
              <w:pStyle w:val="TableContents"/>
              <w:bidi w:val="0"/>
              <w:spacing w:before="0" w:after="283"/>
              <w:jc w:val="left"/>
              <w:rPr/>
            </w:pPr>
            <w:r>
              <w:rPr/>
              <w:t>03/06/2025</w:t>
            </w:r>
          </w:p>
        </w:tc>
        <w:tc>
          <w:tcPr>
            <w:tcW w:w="1365" w:type="dxa"/>
            <w:tcBorders/>
            <w:vAlign w:val="center"/>
          </w:tcPr>
          <w:p>
            <w:pPr>
              <w:pStyle w:val="TableContents"/>
              <w:bidi w:val="0"/>
              <w:spacing w:before="0" w:after="283"/>
              <w:jc w:val="left"/>
              <w:rPr/>
            </w:pPr>
            <w:r>
              <w:rPr/>
              <w:t>Stock Bonus</w:t>
            </w:r>
          </w:p>
        </w:tc>
        <w:tc>
          <w:tcPr>
            <w:tcW w:w="1465" w:type="dxa"/>
            <w:tcBorders/>
            <w:vAlign w:val="center"/>
          </w:tcPr>
          <w:p>
            <w:pPr>
              <w:pStyle w:val="TableContents"/>
              <w:bidi w:val="0"/>
              <w:spacing w:before="0" w:after="283"/>
              <w:jc w:val="left"/>
              <w:rPr/>
            </w:pPr>
            <w:r>
              <w:rPr/>
              <w:t>Forum Energy Technologies, Inc.</w:t>
            </w:r>
          </w:p>
        </w:tc>
        <w:tc>
          <w:tcPr>
            <w:tcW w:w="502"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p>
        </w:tc>
        <w:tc>
          <w:tcPr>
            <w:tcW w:w="107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pPr>
            <w:r>
              <w:rPr/>
              <w:t>10481</w:t>
            </w:r>
          </w:p>
        </w:tc>
        <w:tc>
          <w:tcPr>
            <w:tcW w:w="1018" w:type="dxa"/>
            <w:tcBorders/>
            <w:vAlign w:val="center"/>
          </w:tcPr>
          <w:p>
            <w:pPr>
              <w:pStyle w:val="TableContents"/>
              <w:bidi w:val="0"/>
              <w:spacing w:before="0" w:after="283"/>
              <w:jc w:val="left"/>
              <w:rPr/>
            </w:pPr>
            <w:r>
              <w:rPr/>
              <w:t>03/06/2025</w:t>
            </w:r>
          </w:p>
        </w:tc>
        <w:tc>
          <w:tcPr>
            <w:tcW w:w="1564" w:type="dxa"/>
            <w:tcBorders/>
            <w:vAlign w:val="center"/>
          </w:tcPr>
          <w:p>
            <w:pPr>
              <w:pStyle w:val="TableContents"/>
              <w:bidi w:val="0"/>
              <w:spacing w:before="0" w:after="283"/>
              <w:jc w:val="left"/>
              <w:rPr/>
            </w:pPr>
            <w:r>
              <w:rPr/>
              <w:t>Compensatory Payment</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631"/>
        <w:gridCol w:w="5574"/>
      </w:tblGrid>
      <w:tr>
        <w:trPr/>
        <w:tc>
          <w:tcPr>
            <w:tcW w:w="4631" w:type="dxa"/>
            <w:tcBorders/>
            <w:vAlign w:val="center"/>
          </w:tcPr>
          <w:p>
            <w:pPr>
              <w:pStyle w:val="TableContents"/>
              <w:bidi w:val="0"/>
              <w:spacing w:before="0" w:after="283"/>
              <w:jc w:val="left"/>
              <w:rPr/>
            </w:pPr>
            <w:r>
              <w:rPr/>
              <w:t>Remarks</w:t>
            </w:r>
          </w:p>
        </w:tc>
        <w:tc>
          <w:tcPr>
            <w:tcW w:w="5574" w:type="dxa"/>
            <w:tcBorders/>
            <w:vAlign w:val="center"/>
          </w:tcPr>
          <w:p>
            <w:pPr>
              <w:pStyle w:val="TableContents"/>
              <w:bidi w:val="0"/>
              <w:spacing w:before="0" w:after="283"/>
              <w:jc w:val="left"/>
              <w:rPr>
                <w:sz w:val="4"/>
                <w:szCs w:val="4"/>
              </w:rPr>
            </w:pPr>
            <w:r>
              <w:rPr>
                <w:sz w:val="4"/>
                <w:szCs w:val="4"/>
              </w:rPr>
            </w:r>
          </w:p>
        </w:tc>
      </w:tr>
      <w:tr>
        <w:trPr/>
        <w:tc>
          <w:tcPr>
            <w:tcW w:w="4631" w:type="dxa"/>
            <w:tcBorders/>
            <w:vAlign w:val="center"/>
          </w:tcPr>
          <w:p>
            <w:pPr>
              <w:pStyle w:val="TableContents"/>
              <w:bidi w:val="0"/>
              <w:spacing w:before="0" w:after="283"/>
              <w:jc w:val="left"/>
              <w:rPr/>
            </w:pPr>
            <w:r>
              <w:rPr/>
              <w:t>Date of Notice</w:t>
            </w:r>
          </w:p>
        </w:tc>
        <w:tc>
          <w:tcPr>
            <w:tcW w:w="5574" w:type="dxa"/>
            <w:tcBorders/>
            <w:vAlign w:val="center"/>
          </w:tcPr>
          <w:p>
            <w:pPr>
              <w:pStyle w:val="TableContents"/>
              <w:bidi w:val="0"/>
              <w:spacing w:before="0" w:after="0"/>
              <w:jc w:val="left"/>
              <w:rPr/>
            </w:pPr>
            <w:r>
              <w:rPr/>
              <w:t>08/20/2026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631" w:type="dxa"/>
            <w:tcBorders/>
            <w:vAlign w:val="center"/>
          </w:tcPr>
          <w:p>
            <w:pPr>
              <w:pStyle w:val="TableContents"/>
              <w:bidi w:val="0"/>
              <w:spacing w:before="0" w:after="283"/>
              <w:jc w:val="left"/>
              <w:rPr/>
            </w:pPr>
            <w:r>
              <w:rPr/>
              <w:t>Signature</w:t>
            </w:r>
          </w:p>
        </w:tc>
        <w:tc>
          <w:tcPr>
            <w:tcW w:w="5574" w:type="dxa"/>
            <w:tcBorders/>
            <w:vAlign w:val="center"/>
          </w:tcPr>
          <w:p>
            <w:pPr>
              <w:pStyle w:val="TableContents"/>
              <w:bidi w:val="0"/>
              <w:spacing w:before="0" w:after="0"/>
              <w:jc w:val="left"/>
              <w:rPr/>
            </w:pPr>
            <w:r>
              <w:rPr/>
              <w:t>David L. Williams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checked.jpg" TargetMode="External"/><Relationship Id="rId37" Type="http://schemas.openxmlformats.org/officeDocument/2006/relationships/fontTable" Target="fontTable.xml"/><Relationship Id="rId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980</Words>
  <Characters>5711</Characters>
  <CharactersWithSpaces>6421</CharactersWithSpaces>
  <Paragraphs>324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