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FORUM ENERGY TECHNOLOGIES, INC.</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001-35504</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61-1488595</w:t>
            </w:r>
          </w:p>
        </w:tc>
      </w:tr>
      <w:tr>
        <w:trPr>
          <w:trHeight w:val="252"/>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(Commission</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6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Number)</w:t>
            </w: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7"/>
        </w:trPr>
        <w:tc>
          <w:tcPr>
            <w:tcW w:w="386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10344 Sam Houston Park Drive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TX</w:t>
            </w:r>
          </w:p>
        </w:tc>
        <w:tc>
          <w:tcPr>
            <w:tcW w:w="17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77064</w:t>
            </w:r>
          </w:p>
        </w:tc>
      </w:tr>
      <w:tr>
        <w:trPr>
          <w:trHeight w:val="234"/>
        </w:trPr>
        <w:tc>
          <w:tcPr>
            <w:tcW w:w="614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720" w:type="dxa"/>
            <w:vAlign w:val="bottom"/>
          </w:tcPr>
          <w:p>
            <w:pPr>
              <w:spacing w:after="0"/>
              <w:rPr>
                <w:sz w:val="20"/>
                <w:szCs w:val="20"/>
                <w:color w:val="auto"/>
              </w:rPr>
            </w:pPr>
          </w:p>
        </w:tc>
        <w:tc>
          <w:tcPr>
            <w:tcW w:w="17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7"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281 949-2500</w:t>
      </w:r>
    </w:p>
    <w:p>
      <w:pPr>
        <w:spacing w:after="0" w:line="12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5500" w:type="dxa"/>
            <w:vAlign w:val="bottom"/>
            <w:gridSpan w:val="2"/>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18"/>
        </w:trPr>
        <w:tc>
          <w:tcPr>
            <w:tcW w:w="5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60" w:type="dxa"/>
            <w:vAlign w:val="bottom"/>
          </w:tcPr>
          <w:p>
            <w:pPr>
              <w:spacing w:after="0"/>
              <w:rPr>
                <w:sz w:val="18"/>
                <w:szCs w:val="18"/>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FET</w:t>
            </w:r>
          </w:p>
        </w:tc>
        <w:tc>
          <w:tcPr>
            <w:tcW w:w="180" w:type="dxa"/>
            <w:vAlign w:val="bottom"/>
          </w:tcPr>
          <w:p>
            <w:pPr>
              <w:spacing w:after="0"/>
              <w:rPr>
                <w:sz w:val="18"/>
                <w:szCs w:val="18"/>
                <w:color w:val="auto"/>
              </w:rPr>
            </w:pPr>
          </w:p>
        </w:tc>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211D1E"/>
        </w:rPr>
        <w:t xml:space="preserve">Emerging growth company </w:t>
      </w:r>
      <w:r>
        <w:rPr>
          <w:rFonts w:ascii="MS PGothic" w:cs="MS PGothic" w:eastAsia="MS PGothic" w:hAnsi="MS PGothic"/>
          <w:sz w:val="18"/>
          <w:szCs w:val="18"/>
          <w:color w:val="000000"/>
        </w:rPr>
        <w:t>☐</w:t>
      </w:r>
    </w:p>
    <w:p>
      <w:pPr>
        <w:spacing w:after="0" w:line="198"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504190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On April 30, 2026, Forum Energy Technologies,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earnings for the quarter ended March 31, 2026. A copy of the release is furnished herewith as Exhibit 99.1 and incorporated herein by reference.</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Exhibit 99.1 to this report contains “non-GAAP financial measures” as defined in Item 10 of Regulation S-K of the Securities Exchange Act of 1934, as amended (the “Exchange Act”). The non-GAAP financial measures reflect earnings before interest, taxes, depreciation and amortization expense (“EBITDA”), adjusted EBITDA, adjusted operating income, adjusted net income, adjusted net income per diluted share (“Adjusted Diluted EPS”), book to bill ratio, free cash flow before acquisitions (“free cash flow”) and net leverage ratio. A reconciliation of EBITDA, adjusted EBITDA, adjusted operating income, adjusted net income, Adjusted Diluted EPS, book to bill ratio and free cash flow to the most directly comparable financial measures calculated and presented in accordance with Generally Accepted Accounting Principles in the United States (“GAAP”) is included as an attachment to the press release. The Company believes the presentation of EBITDA, adjusted EBITDA, adjusted operating income, adjusted net income, Adjusted Diluted EPS, book to bill ratio, free cash flow and net leverage ratio are useful to the Company's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presentation of this additional information is not meant to be considered in isolation or as a substitute for the Company's financial results prepared in accordance with GAAP.</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to be “filed” for purposes of Section 18 of the Exchange Act or otherwise subject to the liabilities of that section, nor shall it be incorporated by reference into a filing under the Securities Act of 1933,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 Exhibits.</w:t>
            </w:r>
          </w:p>
        </w:tc>
        <w:tc>
          <w:tcPr>
            <w:tcW w:w="95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183"/>
        </w:trPr>
        <w:tc>
          <w:tcPr>
            <w:tcW w:w="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40" w:type="dxa"/>
            <w:vAlign w:val="bottom"/>
          </w:tcPr>
          <w:p>
            <w:pPr>
              <w:spacing w:after="0"/>
              <w:rPr>
                <w:sz w:val="15"/>
                <w:szCs w:val="15"/>
                <w:color w:val="auto"/>
              </w:rPr>
            </w:pPr>
          </w:p>
        </w:tc>
        <w:tc>
          <w:tcPr>
            <w:tcW w:w="95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dated April 30, 2026.</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39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100"/>
        <w:spacing w:after="0"/>
        <w:tabs>
          <w:tab w:leader="none" w:pos="4100" w:val="left"/>
        </w:tabs>
        <w:rPr>
          <w:sz w:val="20"/>
          <w:szCs w:val="20"/>
          <w:color w:val="auto"/>
        </w:rPr>
      </w:pPr>
      <w:r>
        <w:rPr>
          <w:rFonts w:ascii="Times New Roman" w:cs="Times New Roman" w:eastAsia="Times New Roman" w:hAnsi="Times New Roman"/>
          <w:sz w:val="35"/>
          <w:szCs w:val="35"/>
          <w:color w:val="auto"/>
          <w:vertAlign w:val="superscript"/>
        </w:rPr>
        <w:t>Date: April 30, 2026</w:t>
      </w:r>
      <w:r>
        <w:rPr>
          <w:sz w:val="20"/>
          <w:szCs w:val="20"/>
          <w:color w:val="auto"/>
        </w:rPr>
        <w:tab/>
      </w:r>
      <w:r>
        <w:rPr>
          <w:rFonts w:ascii="Times New Roman" w:cs="Times New Roman" w:eastAsia="Times New Roman" w:hAnsi="Times New Roman"/>
          <w:sz w:val="18"/>
          <w:szCs w:val="18"/>
          <w:b w:val="1"/>
          <w:bCs w:val="1"/>
          <w:color w:val="auto"/>
        </w:rPr>
        <w:t>FORUM ENERGY TECHNOLOGIES, INC.</w:t>
      </w:r>
    </w:p>
    <w:p>
      <w:pPr>
        <w:spacing w:after="0" w:line="15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 John C. Ivascu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43180</wp:posOffset>
            </wp:positionV>
            <wp:extent cx="39008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00805" cy="825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John C. Ivascu</w:t>
      </w:r>
    </w:p>
    <w:p>
      <w:pPr>
        <w:spacing w:after="0" w:line="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 Officer and</w:t>
      </w:r>
    </w:p>
    <w:p>
      <w:pPr>
        <w:ind w:left="412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200"/>
          </w:cols>
          <w:pgMar w:left="320" w:top="1238"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02870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81" w:lineRule="auto"/>
        <w:rPr>
          <w:sz w:val="20"/>
          <w:szCs w:val="20"/>
          <w:color w:val="auto"/>
        </w:rPr>
      </w:pPr>
      <w:r>
        <w:rPr>
          <w:rFonts w:ascii="Arial" w:cs="Arial" w:eastAsia="Arial" w:hAnsi="Arial"/>
          <w:sz w:val="32"/>
          <w:szCs w:val="32"/>
          <w:b w:val="1"/>
          <w:bCs w:val="1"/>
          <w:color w:val="auto"/>
        </w:rPr>
        <w:t>Forum Energy Technologies Announces First Quarter 2026 Results; Raises Full Year 2026 Adjusted EBITDA Guidance</w:t>
      </w:r>
    </w:p>
    <w:p>
      <w:pPr>
        <w:spacing w:after="0" w:line="37" w:lineRule="exact"/>
        <w:rPr>
          <w:sz w:val="20"/>
          <w:szCs w:val="20"/>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Orders: $221 million, book-to-bill ratio of 106%</w:t>
      </w:r>
    </w:p>
    <w:p>
      <w:pPr>
        <w:spacing w:after="0" w:line="175"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Revenue: $209 million</w:t>
      </w:r>
    </w:p>
    <w:p>
      <w:pPr>
        <w:spacing w:after="0" w:line="175"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Net income and adjusted net income: $4 million and $6 million</w:t>
      </w:r>
    </w:p>
    <w:p>
      <w:pPr>
        <w:spacing w:after="0" w:line="161"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Adjusted EBITDA: $23 million</w:t>
      </w:r>
    </w:p>
    <w:p>
      <w:pPr>
        <w:spacing w:after="0" w:line="175"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Share repurchases: $5 million returned to shareholders</w:t>
      </w:r>
    </w:p>
    <w:p>
      <w:pPr>
        <w:spacing w:after="0" w:line="161" w:lineRule="exact"/>
        <w:rPr>
          <w:rFonts w:ascii="Arial" w:cs="Arial" w:eastAsia="Arial" w:hAnsi="Arial"/>
          <w:sz w:val="20"/>
          <w:szCs w:val="20"/>
          <w:b w:val="1"/>
          <w:bCs w:val="1"/>
          <w:color w:val="auto"/>
        </w:rPr>
      </w:pPr>
    </w:p>
    <w:p>
      <w:pPr>
        <w:ind w:left="300" w:hanging="292"/>
        <w:spacing w:after="0"/>
        <w:tabs>
          <w:tab w:leader="none" w:pos="3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2026 adjusted EBITDA guidance increased: $95 - $110 million</w:t>
      </w:r>
    </w:p>
    <w:p>
      <w:pPr>
        <w:spacing w:after="0" w:line="285"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HOUSTON, TEXAS, April 30, 2026 - Forum Energy Technologies, Inc. (NYSE: FET) today announced first quarter 2026 revenue of $209 million and net income of $4 million or $0.39 per diluted share. Adjusting for restructuring costs, net income was $6 million or approximately $0.47 per diluted share.</w:t>
      </w:r>
      <w:r>
        <w:rPr>
          <w:rFonts w:ascii="Arial" w:cs="Arial" w:eastAsia="Arial" w:hAnsi="Arial"/>
          <w:sz w:val="25"/>
          <w:szCs w:val="25"/>
          <w:color w:val="auto"/>
          <w:vertAlign w:val="superscript"/>
        </w:rPr>
        <w:t>1</w:t>
      </w:r>
    </w:p>
    <w:p>
      <w:pPr>
        <w:spacing w:after="0" w:line="29"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Neal Lux, President and Chief Executive Officer, remarked, “FET’s first quarter results continued our momentum from 2025, with revenue and adjusted EBITDA growing 8% and 14% year-over-year. We received strong orders for our differentiated products and increased our backlog 44% compared to the first quarter 2025. The execution of our “Beat the Market” strategy continues to yield share gains.</w:t>
      </w:r>
    </w:p>
    <w:p>
      <w:pPr>
        <w:spacing w:after="0" w:line="12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“The conflict in the Middle East has produced significant hardships for the region. Thankfully, our employees remain safe and we experienced minimal impact to our financial results. Longer term, we expect elevated commodity prices and increased upstream spending to drive demand for FET’s innovative products and technology. The combination of market expansion and our “Beat the Market” strategy’s results provide additional confidence we will achieve our long-term FET 2030 goals.</w:t>
      </w:r>
    </w:p>
    <w:p>
      <w:pPr>
        <w:spacing w:after="0" w:line="13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“In the near term, we expect second quarter results to increase substantially, with adjusted EBITDA between $24 and $30 million. This performance will be driven by backlog conversion, cost savings, and market share gains. While we are seeing signs of increased industry activity, our current forecast conservatively assumes a flat market. However, with a strong start to the year, we are raising the mid-point of our full year 2026 adjusted EBITDA guidance range to $103 million, a 20% percent increase over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Arial" w:cs="Arial" w:eastAsia="Arial" w:hAnsi="Arial"/>
          <w:sz w:val="16"/>
          <w:szCs w:val="16"/>
          <w:color w:val="auto"/>
        </w:rPr>
        <w:t>See Tables 1-5 for a reconciliation of GAAP to non-GAAP financial information, including a breakdown of adjusting items.</w:t>
      </w:r>
    </w:p>
    <w:p>
      <w:pPr>
        <w:sectPr>
          <w:pgSz w:w="11900" w:h="16838" w:orient="portrait"/>
          <w:cols w:equalWidth="0" w:num="1">
            <w:col w:w="11240"/>
          </w:cols>
          <w:pgMar w:left="320" w:top="5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599"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Segment Results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(unless otherwise noted, comparisons are first quarter 2026 versus fourth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2025</w:t>
      </w:r>
      <w:r>
        <w:rPr>
          <w:rFonts w:ascii="Arial" w:cs="Arial" w:eastAsia="Arial" w:hAnsi="Arial"/>
          <w:sz w:val="20"/>
          <w:szCs w:val="20"/>
          <w:i w:val="1"/>
          <w:iCs w:val="1"/>
          <w:color w:val="auto"/>
        </w:rPr>
        <w:t>)</w:t>
      </w:r>
    </w:p>
    <w:p>
      <w:pPr>
        <w:spacing w:after="0" w:line="285"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Drilling and Completions segment revenue was $127 million, comparable to the previous quarter. Adjusted EBITDA of $13 million increased 6%, benefiting from cost savings initiatives and improved plant utilization related to facilities consolidation. Book-to-bill was 107%, due to higher demand for capital equipment in both the Stimulation and Intervention and the Drilling product lines, and increased demand for wireline cables. Drilling and Completions provides consumable products and capital equipment for drilling, subsea, coiled tubing, wireline, and stimulation markets.</w:t>
      </w:r>
    </w:p>
    <w:p>
      <w:pPr>
        <w:spacing w:after="0" w:line="118"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Artificial Lift and Downhole segment revenue was $82 million, a 9% increase, due to increased volumes across all product lines. Adjusted EBITDA of $17 million was relatively flat due primarily to unfavorable product mix. Book-to-bill was 104%, primarily due to an increase in valve product demand. Artificial Lift and Downhole engineers, manufactures, and supplies products for well construction, artificial lift, and oil and natural gas processing.</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Conference Call</w:t>
      </w:r>
    </w:p>
    <w:p>
      <w:pPr>
        <w:spacing w:after="0" w:line="285"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FET will host its first quarter 2026 earnings conference call at 10:00 a.m. Central Time on Friday, May 1, 2026. The call will be webcast through the Investor Relations link on FET’s website at https://ir.f-e-t.com. Participants may also join the call by registering at https://register-conf.media-server.com/register/BI0550f13ec9dd4976b8fc81aeff11d6be. A replay of the call will be available on the Investor Relations website after the completion of the call at approximately 5:00 p.m. Central Time.</w:t>
      </w:r>
    </w:p>
    <w:p>
      <w:pPr>
        <w:spacing w:after="0" w:line="132" w:lineRule="exact"/>
        <w:rPr>
          <w:sz w:val="20"/>
          <w:szCs w:val="20"/>
          <w:color w:val="auto"/>
        </w:rPr>
      </w:pPr>
    </w:p>
    <w:p>
      <w:pPr>
        <w:jc w:val="both"/>
        <w:spacing w:after="0" w:line="375" w:lineRule="auto"/>
        <w:rPr>
          <w:sz w:val="20"/>
          <w:szCs w:val="20"/>
          <w:color w:val="auto"/>
        </w:rPr>
      </w:pPr>
      <w:r>
        <w:rPr>
          <w:rFonts w:ascii="Arial" w:cs="Arial" w:eastAsia="Arial" w:hAnsi="Arial"/>
          <w:sz w:val="20"/>
          <w:szCs w:val="20"/>
          <w:i w:val="1"/>
          <w:iCs w:val="1"/>
          <w:color w:val="auto"/>
        </w:rPr>
        <w:t xml:space="preserve">FET is a global manufacturing company, serving the oil, natural gas, defense, and renewable energy industries. With headquarters located in Houston, Texas, FET provides value added solutions aimed at improving the safety, efficiency, and environmental impact of our customers' operations. For more information, please visit </w:t>
      </w:r>
      <w:r>
        <w:rPr>
          <w:rFonts w:ascii="Arial" w:cs="Arial" w:eastAsia="Arial" w:hAnsi="Arial"/>
          <w:sz w:val="20"/>
          <w:szCs w:val="20"/>
          <w:i w:val="1"/>
          <w:iCs w:val="1"/>
          <w:u w:val="single" w:color="auto"/>
          <w:color w:val="0000FF"/>
        </w:rPr>
        <w:t>www.f-e-t.com</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30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Non-GAAP Financial Measures</w:t>
      </w:r>
    </w:p>
    <w:p>
      <w:pPr>
        <w:spacing w:after="0" w:line="231"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 Company presents its financial results in accordance with GAAP. However, management believes that non-GAAP measures are useful tools for evaluating the Company's overall financial performance. Not all companies define these measures in the same way. In addition, these non-GAAP financial measures are not a substitute for those prepared in accordance with GAAP and should, therefore, be considered only as a supplement. Please see the attached schedules for reconciliations between GAAP and the non-GAAP financial measures used in this press release. The company is unable to provide a reconciliation of forward-looking adjusted net income and adjusted EBITDA to GAAP net income because items that impact GAAP net income, such as restructuring charges, transaction expenses, and foreign exchange losses (gains), cannot be reasonably predicted.</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 and Other Legal Disclosure</w:t>
      </w:r>
    </w:p>
    <w:p>
      <w:pPr>
        <w:spacing w:after="0" w:line="218"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and Section 21E of the Securities Exchange Act of 1934. All statements, other than statements of historical facts, included in this press release that address activities, events or developments that the Company expects, believes or anticipates will or may occur in the future are forward-looking statements. Without limiting the generality of the foregoing, forward-looking statements contained in this press release specifically include the expectations of plans, strategies, objectives and anticipated financial and operating results of the Company, including any statement about the Company's outlook, future financial position, liquidity and capital resources, operations, performance, cash flow, acquisitions, returns, capital expenditure budgets, new product development activities, strategic investments, share repurchases, costs and other guidance included in this press release.</w:t>
      </w:r>
    </w:p>
    <w:p>
      <w:pPr>
        <w:spacing w:after="0" w:line="72"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These statements are based on certain assumptions made by the Company based on management's experience and perception of historical trends, current conditions, anticipated future developments and other factors believed to be appropriate. Such statements are subject to a number of assumptions, risks and uncertainties, many of which are beyond the control of the Company, which may cause actual results to differ materially from those implied or expressed by the forward-looking statements. Among other things, these include the volatility of oil and natural gas prices, oilfield development activity levels, the availability of raw materials and specialized equipment, the Company's ability to deliver backlog in a timely fashion, the availability of skilled and qualified labor, competition in the oil and natural gas industry, governmental regulation and taxation of the oil and natural gas industry, the Company's ability to implement new technologies and services, the availability and terms of capital, and uncertainties regarding environmental regulations or litigation and other legal or regulatory developments affecting the Company's business, and other important factors that could cause actual results to differ materially from those projected as described in the Company's filings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50" w:right="339" w:bottom="1440" w:gutter="0" w:footer="0" w:header="0"/>
        </w:sectPr>
      </w:pPr>
    </w:p>
    <w:bookmarkStart w:id="6" w:name="page7"/>
    <w:bookmarkEnd w:id="6"/>
    <w:p>
      <w:pPr>
        <w:jc w:val="both"/>
        <w:spacing w:after="0" w:line="375" w:lineRule="auto"/>
        <w:rPr>
          <w:sz w:val="20"/>
          <w:szCs w:val="20"/>
          <w:color w:val="auto"/>
        </w:rPr>
      </w:pPr>
      <w:r>
        <w:rPr>
          <w:rFonts w:ascii="Arial" w:cs="Arial" w:eastAsia="Arial" w:hAnsi="Arial"/>
          <w:sz w:val="20"/>
          <w:szCs w:val="20"/>
          <w:color w:val="auto"/>
        </w:rPr>
        <w:t>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Contact</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Rob Kukla</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Director of Investor Relations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281.994.3763</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rob.kukla@f-e-t.com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52"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income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information)</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580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208,700</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193,279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202,200</w:t>
            </w: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147,709</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134,918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141,118</w:t>
            </w:r>
          </w:p>
        </w:tc>
        <w:tc>
          <w:tcPr>
            <w:tcW w:w="0" w:type="dxa"/>
            <w:vAlign w:val="bottom"/>
          </w:tcPr>
          <w:p>
            <w:pPr>
              <w:spacing w:after="0"/>
              <w:rPr>
                <w:sz w:val="1"/>
                <w:szCs w:val="1"/>
                <w:color w:val="auto"/>
              </w:rPr>
            </w:pPr>
          </w:p>
        </w:tc>
      </w:tr>
      <w:tr>
        <w:trPr>
          <w:trHeight w:val="223"/>
        </w:trPr>
        <w:tc>
          <w:tcPr>
            <w:tcW w:w="58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60,991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58,361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61,082</w:t>
            </w:r>
          </w:p>
        </w:tc>
        <w:tc>
          <w:tcPr>
            <w:tcW w:w="0" w:type="dxa"/>
            <w:vAlign w:val="bottom"/>
          </w:tcPr>
          <w:p>
            <w:pPr>
              <w:spacing w:after="0"/>
              <w:rPr>
                <w:sz w:val="1"/>
                <w:szCs w:val="1"/>
                <w:color w:val="auto"/>
              </w:rPr>
            </w:pPr>
          </w:p>
        </w:tc>
      </w:tr>
      <w:tr>
        <w:trPr>
          <w:trHeight w:val="204"/>
        </w:trPr>
        <w:tc>
          <w:tcPr>
            <w:tcW w:w="5800" w:type="dxa"/>
            <w:vAlign w:val="bottom"/>
          </w:tcPr>
          <w:p>
            <w:pPr>
              <w:spacing w:after="0" w:line="204" w:lineRule="exact"/>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48,888</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Transaction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color w:val="auto"/>
              </w:rPr>
              <w:t>Loss on disposal of assets and other</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58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48,318</w:t>
            </w:r>
          </w:p>
        </w:tc>
        <w:tc>
          <w:tcPr>
            <w:tcW w:w="0" w:type="dxa"/>
            <w:vAlign w:val="bottom"/>
          </w:tcPr>
          <w:p>
            <w:pPr>
              <w:spacing w:after="0"/>
              <w:rPr>
                <w:sz w:val="1"/>
                <w:szCs w:val="1"/>
                <w:color w:val="auto"/>
              </w:rPr>
            </w:pPr>
          </w:p>
        </w:tc>
      </w:tr>
      <w:tr>
        <w:trPr>
          <w:trHeight w:val="218"/>
        </w:trPr>
        <w:tc>
          <w:tcPr>
            <w:tcW w:w="5800" w:type="dxa"/>
            <w:vAlign w:val="bottom"/>
          </w:tcPr>
          <w:p>
            <w:pPr>
              <w:ind w:left="20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12,764</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color w:val="auto"/>
              </w:rPr>
              <w:t>Foreign exchange losses (gains) and other, net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5800" w:type="dxa"/>
            <w:vAlign w:val="bottom"/>
          </w:tcPr>
          <w:p>
            <w:pPr>
              <w:ind w:left="200"/>
              <w:spacing w:after="0"/>
              <w:rPr>
                <w:sz w:val="20"/>
                <w:szCs w:val="20"/>
                <w:color w:val="auto"/>
              </w:rPr>
            </w:pPr>
            <w:r>
              <w:rPr>
                <w:rFonts w:ascii="Arial" w:cs="Arial" w:eastAsia="Arial" w:hAnsi="Arial"/>
                <w:sz w:val="18"/>
                <w:szCs w:val="18"/>
                <w:color w:val="auto"/>
              </w:rPr>
              <w:t>Total other expense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8"/>
        </w:trPr>
        <w:tc>
          <w:tcPr>
            <w:tcW w:w="5800" w:type="dxa"/>
            <w:vAlign w:val="bottom"/>
          </w:tcPr>
          <w:p>
            <w:pPr>
              <w:ind w:left="200"/>
              <w:spacing w:after="0"/>
              <w:rPr>
                <w:sz w:val="20"/>
                <w:szCs w:val="20"/>
                <w:color w:val="auto"/>
              </w:rPr>
            </w:pPr>
            <w:r>
              <w:rPr>
                <w:rFonts w:ascii="Arial" w:cs="Arial" w:eastAsia="Arial" w:hAnsi="Arial"/>
                <w:sz w:val="18"/>
                <w:szCs w:val="18"/>
                <w:b w:val="1"/>
                <w:bCs w:val="1"/>
                <w:color w:val="auto"/>
              </w:rPr>
              <w:t>Income before taxes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23"/>
        </w:trPr>
        <w:tc>
          <w:tcPr>
            <w:tcW w:w="5800" w:type="dxa"/>
            <w:vAlign w:val="bottom"/>
          </w:tcPr>
          <w:p>
            <w:pPr>
              <w:ind w:left="20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39"/>
        </w:trPr>
        <w:tc>
          <w:tcPr>
            <w:tcW w:w="5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490"/>
        </w:trPr>
        <w:tc>
          <w:tcPr>
            <w:tcW w:w="58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0.40</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9"/>
        </w:trPr>
        <w:tc>
          <w:tcPr>
            <w:tcW w:w="5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0.39</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80" w:hanging="178"/>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Refer to Table 1 for schedule of adjusting items.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0"/>
          </w:cols>
          <w:pgMar w:left="580" w:top="926" w:right="55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37,488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34,661</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Accounts receivable—trade,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155,480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142,396</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239,420</w:t>
            </w:r>
          </w:p>
        </w:tc>
        <w:tc>
          <w:tcPr>
            <w:tcW w:w="0" w:type="dxa"/>
            <w:vAlign w:val="bottom"/>
          </w:tcPr>
          <w:p>
            <w:pPr>
              <w:spacing w:after="0"/>
              <w:rPr>
                <w:sz w:val="1"/>
                <w:szCs w:val="1"/>
                <w:color w:val="auto"/>
              </w:rPr>
            </w:pP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32,407</w:t>
            </w:r>
          </w:p>
        </w:tc>
        <w:tc>
          <w:tcPr>
            <w:tcW w:w="0" w:type="dxa"/>
            <w:vAlign w:val="bottom"/>
          </w:tcPr>
          <w:p>
            <w:pPr>
              <w:spacing w:after="0"/>
              <w:rPr>
                <w:sz w:val="1"/>
                <w:szCs w:val="1"/>
                <w:color w:val="auto"/>
              </w:rPr>
            </w:pPr>
          </w:p>
        </w:tc>
      </w:tr>
      <w:tr>
        <w:trPr>
          <w:trHeight w:val="218"/>
        </w:trPr>
        <w:tc>
          <w:tcPr>
            <w:tcW w:w="75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448,884</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51,905</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80,733</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151,741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158,304</w:t>
            </w:r>
          </w:p>
        </w:tc>
        <w:tc>
          <w:tcPr>
            <w:tcW w:w="0" w:type="dxa"/>
            <w:vAlign w:val="bottom"/>
          </w:tcPr>
          <w:p>
            <w:pPr>
              <w:spacing w:after="0"/>
              <w:rPr>
                <w:sz w:val="1"/>
                <w:szCs w:val="1"/>
                <w:color w:val="auto"/>
              </w:rPr>
            </w:pP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1"/>
        </w:trPr>
        <w:tc>
          <w:tcPr>
            <w:tcW w:w="7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207,229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205,127</w:t>
            </w:r>
          </w:p>
        </w:tc>
        <w:tc>
          <w:tcPr>
            <w:tcW w:w="0" w:type="dxa"/>
            <w:vAlign w:val="bottom"/>
          </w:tcPr>
          <w:p>
            <w:pPr>
              <w:spacing w:after="0"/>
              <w:rPr>
                <w:sz w:val="1"/>
                <w:szCs w:val="1"/>
                <w:color w:val="auto"/>
              </w:rPr>
            </w:pPr>
          </w:p>
        </w:tc>
      </w:tr>
      <w:tr>
        <w:trPr>
          <w:trHeight w:val="218"/>
        </w:trPr>
        <w:tc>
          <w:tcPr>
            <w:tcW w:w="758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206,534</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134,521</w:t>
            </w:r>
          </w:p>
        </w:tc>
        <w:tc>
          <w:tcPr>
            <w:tcW w:w="0" w:type="dxa"/>
            <w:vAlign w:val="bottom"/>
          </w:tcPr>
          <w:p>
            <w:pPr>
              <w:spacing w:after="0"/>
              <w:rPr>
                <w:sz w:val="1"/>
                <w:szCs w:val="1"/>
                <w:color w:val="auto"/>
              </w:rPr>
            </w:pP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121,433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120,257</w:t>
            </w:r>
          </w:p>
        </w:tc>
        <w:tc>
          <w:tcPr>
            <w:tcW w:w="0" w:type="dxa"/>
            <w:vAlign w:val="bottom"/>
          </w:tcPr>
          <w:p>
            <w:pPr>
              <w:spacing w:after="0"/>
              <w:rPr>
                <w:sz w:val="1"/>
                <w:szCs w:val="1"/>
                <w:color w:val="auto"/>
              </w:rPr>
            </w:pPr>
          </w:p>
        </w:tc>
      </w:tr>
      <w:tr>
        <w:trPr>
          <w:trHeight w:val="223"/>
        </w:trPr>
        <w:tc>
          <w:tcPr>
            <w:tcW w:w="758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482,382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461,312</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280,683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291,143</w:t>
            </w:r>
          </w:p>
        </w:tc>
        <w:tc>
          <w:tcPr>
            <w:tcW w:w="0" w:type="dxa"/>
            <w:vAlign w:val="bottom"/>
          </w:tcPr>
          <w:p>
            <w:pPr>
              <w:spacing w:after="0"/>
              <w:rPr>
                <w:sz w:val="1"/>
                <w:szCs w:val="1"/>
                <w:color w:val="auto"/>
              </w:rPr>
            </w:pP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752,455</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60"/>
          </w:cols>
          <w:pgMar w:left="460" w:top="926"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cash flow information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of dollars)</w:t>
            </w: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Inventory write-down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5"/>
        </w:trPr>
        <w:tc>
          <w:tcPr>
            <w:tcW w:w="7600" w:type="dxa"/>
            <w:vAlign w:val="bottom"/>
          </w:tcPr>
          <w:p>
            <w:pPr>
              <w:spacing w:after="0"/>
              <w:rPr>
                <w:sz w:val="20"/>
                <w:szCs w:val="20"/>
                <w:color w:val="auto"/>
              </w:rPr>
            </w:pPr>
            <w:r>
              <w:rPr>
                <w:rFonts w:ascii="Arial" w:cs="Arial" w:eastAsia="Arial" w:hAnsi="Arial"/>
                <w:sz w:val="18"/>
                <w:szCs w:val="18"/>
                <w:color w:val="auto"/>
              </w:rPr>
              <w:t>Other noncash items and changes in working capital</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5"/>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482"/>
        </w:trPr>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Capital expenditures for property and equipment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35"/>
        </w:trPr>
        <w:tc>
          <w:tcPr>
            <w:tcW w:w="76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482"/>
        </w:trPr>
        <w:tc>
          <w:tcPr>
            <w:tcW w:w="7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Borrowings of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137,934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132,038</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(149,040)</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Repurchases of stock</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Payment of withheld taxes on stock-based compensation plans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5"/>
        </w:trPr>
        <w:tc>
          <w:tcPr>
            <w:tcW w:w="7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5"/>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(21,013)</w:t>
            </w:r>
          </w:p>
        </w:tc>
        <w:tc>
          <w:tcPr>
            <w:tcW w:w="0" w:type="dxa"/>
            <w:vAlign w:val="bottom"/>
          </w:tcPr>
          <w:p>
            <w:pPr>
              <w:spacing w:after="0"/>
              <w:rPr>
                <w:sz w:val="1"/>
                <w:szCs w:val="1"/>
                <w:color w:val="auto"/>
              </w:rPr>
            </w:pPr>
          </w:p>
        </w:tc>
      </w:tr>
      <w:tr>
        <w:trPr>
          <w:trHeight w:val="488"/>
        </w:trPr>
        <w:tc>
          <w:tcPr>
            <w:tcW w:w="7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7600" w:type="dxa"/>
            <w:vAlign w:val="bottom"/>
          </w:tcPr>
          <w:p>
            <w:pPr>
              <w:ind w:left="1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20"/>
          </w:cols>
          <w:pgMar w:left="440" w:top="926"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Supplemental schedule - Segment information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9"/>
              </w:rPr>
              <w:t>As Reported</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 xml:space="preserve">As Adjusted </w:t>
            </w:r>
            <w:r>
              <w:rPr>
                <w:rFonts w:ascii="Arial" w:cs="Arial" w:eastAsia="Arial" w:hAnsi="Arial"/>
                <w:sz w:val="23"/>
                <w:szCs w:val="23"/>
                <w:b w:val="1"/>
                <w:bCs w:val="1"/>
                <w:color w:val="auto"/>
                <w:vertAlign w:val="superscript"/>
              </w:rPr>
              <w:t>(3)</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center"/>
              <w:ind w:left="750"/>
              <w:spacing w:after="0"/>
              <w:rPr>
                <w:sz w:val="20"/>
                <w:szCs w:val="20"/>
                <w:color w:val="auto"/>
              </w:rPr>
            </w:pPr>
            <w:r>
              <w:rPr>
                <w:rFonts w:ascii="Arial" w:cs="Arial" w:eastAsia="Arial" w:hAnsi="Arial"/>
                <w:sz w:val="18"/>
                <w:szCs w:val="18"/>
                <w:b w:val="1"/>
                <w:bCs w:val="1"/>
                <w:color w:val="auto"/>
                <w:w w:val="99"/>
              </w:rPr>
              <w:t>Three months ended</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of dollars)</w:t>
            </w:r>
          </w:p>
        </w:tc>
        <w:tc>
          <w:tcPr>
            <w:tcW w:w="180" w:type="dxa"/>
            <w:vAlign w:val="bottom"/>
          </w:tcPr>
          <w:p>
            <w:pPr>
              <w:spacing w:after="0"/>
              <w:rPr>
                <w:sz w:val="14"/>
                <w:szCs w:val="14"/>
                <w:color w:val="auto"/>
              </w:rPr>
            </w:pPr>
          </w:p>
        </w:tc>
        <w:tc>
          <w:tcPr>
            <w:tcW w:w="12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March 31,</w:t>
            </w:r>
          </w:p>
        </w:tc>
        <w:tc>
          <w:tcPr>
            <w:tcW w:w="128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8"/>
              </w:rPr>
              <w:t>March 31,</w:t>
            </w:r>
          </w:p>
        </w:tc>
        <w:tc>
          <w:tcPr>
            <w:tcW w:w="12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26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126,739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115,569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126,916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126,739</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115,569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126,916</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82,098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77,796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75,461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82,098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77,796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75,461</w:t>
            </w: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208,700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193,279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202,200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208,700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193,279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202,200</w:t>
            </w:r>
          </w:p>
        </w:tc>
        <w:tc>
          <w:tcPr>
            <w:tcW w:w="0" w:type="dxa"/>
            <w:vAlign w:val="bottom"/>
          </w:tcPr>
          <w:p>
            <w:pPr>
              <w:spacing w:after="0"/>
              <w:rPr>
                <w:sz w:val="1"/>
                <w:szCs w:val="1"/>
                <w:color w:val="auto"/>
              </w:rPr>
            </w:pPr>
          </w:p>
        </w:tc>
      </w:tr>
      <w:tr>
        <w:trPr>
          <w:trHeight w:val="21"/>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62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9,379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10,081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9,801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r>
        <w:trPr>
          <w:trHeight w:val="228"/>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Operating Margin %</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7.0 %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8.1 %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7.7 %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8.0 %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7.3 %</w:t>
            </w:r>
          </w:p>
        </w:tc>
        <w:tc>
          <w:tcPr>
            <w:tcW w:w="0" w:type="dxa"/>
            <w:vAlign w:val="bottom"/>
          </w:tcPr>
          <w:p>
            <w:pPr>
              <w:spacing w:after="0"/>
              <w:rPr>
                <w:sz w:val="1"/>
                <w:szCs w:val="1"/>
                <w:color w:val="auto"/>
              </w:rPr>
            </w:pPr>
          </w:p>
        </w:tc>
      </w:tr>
      <w:tr>
        <w:trPr>
          <w:trHeight w:val="232"/>
        </w:trPr>
        <w:tc>
          <w:tcPr>
            <w:tcW w:w="262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11,584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7,297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11,708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28"/>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Operating Margin %</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15.5 %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15.7 %</w:t>
            </w: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(9,055)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(7,570)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(8,838)</w:t>
            </w:r>
          </w:p>
        </w:tc>
        <w:tc>
          <w:tcPr>
            <w:tcW w:w="0" w:type="dxa"/>
            <w:vAlign w:val="bottom"/>
          </w:tcPr>
          <w:p>
            <w:pPr>
              <w:spacing w:after="0"/>
              <w:rPr>
                <w:sz w:val="1"/>
                <w:szCs w:val="1"/>
                <w:color w:val="auto"/>
              </w:rPr>
            </w:pPr>
          </w:p>
        </w:tc>
      </w:tr>
      <w:tr>
        <w:trPr>
          <w:trHeight w:val="155"/>
        </w:trPr>
        <w:tc>
          <w:tcPr>
            <w:tcW w:w="2620" w:type="dxa"/>
            <w:vAlign w:val="bottom"/>
          </w:tcPr>
          <w:p>
            <w:pPr>
              <w:spacing w:after="0" w:line="156" w:lineRule="exact"/>
              <w:rPr>
                <w:sz w:val="20"/>
                <w:szCs w:val="20"/>
                <w:color w:val="auto"/>
              </w:rPr>
            </w:pPr>
            <w:r>
              <w:rPr>
                <w:rFonts w:ascii="Arial" w:cs="Arial" w:eastAsia="Arial" w:hAnsi="Arial"/>
                <w:sz w:val="18"/>
                <w:szCs w:val="18"/>
                <w:b w:val="1"/>
                <w:bCs w:val="1"/>
                <w:color w:val="auto"/>
              </w:rPr>
              <w:t>Total segment operating</w:t>
            </w:r>
          </w:p>
        </w:tc>
        <w:tc>
          <w:tcPr>
            <w:tcW w:w="180" w:type="dxa"/>
            <w:vAlign w:val="bottom"/>
          </w:tcPr>
          <w:p>
            <w:pPr>
              <w:spacing w:after="0"/>
              <w:rPr>
                <w:sz w:val="13"/>
                <w:szCs w:val="13"/>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color w:val="auto"/>
              </w:rPr>
              <w:t>8,978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12,194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color w:val="auto"/>
              </w:rPr>
              <w:t>12,619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color w:val="auto"/>
              </w:rPr>
              <w:t>9,689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150"/>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r>
              <w:rPr>
                <w:rFonts w:ascii="Arial" w:cs="Arial" w:eastAsia="Arial" w:hAnsi="Arial"/>
                <w:sz w:val="18"/>
                <w:szCs w:val="18"/>
                <w:b w:val="1"/>
                <w:bCs w:val="1"/>
                <w:color w:val="auto"/>
              </w:rPr>
              <w:t>income (loss)</w:t>
            </w:r>
          </w:p>
        </w:tc>
        <w:tc>
          <w:tcPr>
            <w:tcW w:w="1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line="181" w:lineRule="exact"/>
              <w:rPr>
                <w:sz w:val="20"/>
                <w:szCs w:val="20"/>
                <w:color w:val="auto"/>
              </w:rPr>
            </w:pPr>
            <w:r>
              <w:rPr>
                <w:rFonts w:ascii="Arial" w:cs="Arial" w:eastAsia="Arial" w:hAnsi="Arial"/>
                <w:sz w:val="18"/>
                <w:szCs w:val="18"/>
                <w:color w:val="auto"/>
              </w:rPr>
              <w:t>Other items not in segment</w:t>
            </w:r>
          </w:p>
        </w:tc>
        <w:tc>
          <w:tcPr>
            <w:tcW w:w="180" w:type="dxa"/>
            <w:vAlign w:val="bottom"/>
          </w:tcPr>
          <w:p>
            <w:pPr>
              <w:spacing w:after="0"/>
              <w:rPr>
                <w:sz w:val="15"/>
                <w:szCs w:val="15"/>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1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620" w:type="dxa"/>
            <w:vAlign w:val="bottom"/>
          </w:tcPr>
          <w:p>
            <w:pPr>
              <w:spacing w:after="0" w:line="243"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12,764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12,555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Operating Margin %</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5.3 %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4.6 %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6.3 %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0" w:type="dxa"/>
            <w:vAlign w:val="bottom"/>
          </w:tcPr>
          <w:p>
            <w:pPr>
              <w:spacing w:after="0"/>
              <w:rPr>
                <w:sz w:val="1"/>
                <w:szCs w:val="1"/>
                <w:color w:val="auto"/>
              </w:rPr>
            </w:pPr>
          </w:p>
        </w:tc>
      </w:tr>
      <w:tr>
        <w:trPr>
          <w:trHeight w:val="487"/>
        </w:trPr>
        <w:tc>
          <w:tcPr>
            <w:tcW w:w="2620" w:type="dxa"/>
            <w:vAlign w:val="bottom"/>
          </w:tcPr>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3"/>
                <w:szCs w:val="23"/>
                <w:b w:val="1"/>
                <w:bCs w:val="1"/>
                <w:color w:val="auto"/>
                <w:vertAlign w:val="superscript"/>
              </w:rPr>
              <w:t>(2)</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620" w:type="dxa"/>
            <w:vAlign w:val="bottom"/>
          </w:tcPr>
          <w:p>
            <w:pPr>
              <w:spacing w:after="0"/>
              <w:rPr>
                <w:sz w:val="20"/>
                <w:szCs w:val="20"/>
                <w:color w:val="auto"/>
              </w:rPr>
            </w:pPr>
            <w:r>
              <w:rPr>
                <w:rFonts w:ascii="Arial" w:cs="Arial" w:eastAsia="Arial" w:hAnsi="Arial"/>
                <w:sz w:val="18"/>
                <w:szCs w:val="18"/>
                <w:color w:val="auto"/>
              </w:rPr>
              <w:t>Drilling and Completions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12,170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13,304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12,984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12,807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12,409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12,050</w:t>
            </w:r>
          </w:p>
        </w:tc>
        <w:tc>
          <w:tcPr>
            <w:tcW w:w="0" w:type="dxa"/>
            <w:vAlign w:val="bottom"/>
          </w:tcPr>
          <w:p>
            <w:pPr>
              <w:spacing w:after="0"/>
              <w:rPr>
                <w:sz w:val="1"/>
                <w:szCs w:val="1"/>
                <w:color w:val="auto"/>
              </w:rPr>
            </w:pPr>
          </w:p>
        </w:tc>
      </w:tr>
      <w:tr>
        <w:trPr>
          <w:trHeight w:val="228"/>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EBITDA Margin %</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9.6 %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11.5 %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10.7 %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9.5 %</w:t>
            </w:r>
          </w:p>
        </w:tc>
        <w:tc>
          <w:tcPr>
            <w:tcW w:w="0" w:type="dxa"/>
            <w:vAlign w:val="bottom"/>
          </w:tcPr>
          <w:p>
            <w:pPr>
              <w:spacing w:after="0"/>
              <w:rPr>
                <w:sz w:val="1"/>
                <w:szCs w:val="1"/>
                <w:color w:val="auto"/>
              </w:rPr>
            </w:pPr>
          </w:p>
        </w:tc>
      </w:tr>
      <w:tr>
        <w:trPr>
          <w:trHeight w:val="232"/>
        </w:trPr>
        <w:tc>
          <w:tcPr>
            <w:tcW w:w="2620" w:type="dxa"/>
            <w:vAlign w:val="bottom"/>
          </w:tcPr>
          <w:p>
            <w:pPr>
              <w:spacing w:after="0"/>
              <w:rPr>
                <w:sz w:val="20"/>
                <w:szCs w:val="20"/>
                <w:color w:val="auto"/>
              </w:rPr>
            </w:pPr>
            <w:r>
              <w:rPr>
                <w:rFonts w:ascii="Arial" w:cs="Arial" w:eastAsia="Arial" w:hAnsi="Arial"/>
                <w:sz w:val="18"/>
                <w:szCs w:val="18"/>
                <w:color w:val="auto"/>
              </w:rPr>
              <w:t>Artificial Lift and Downhole</w:t>
            </w: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15,943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12,725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16,619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13,492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28"/>
        </w:trPr>
        <w:tc>
          <w:tcPr>
            <w:tcW w:w="2620" w:type="dxa"/>
            <w:vAlign w:val="bottom"/>
          </w:tcPr>
          <w:p>
            <w:pPr>
              <w:ind w:left="140"/>
              <w:spacing w:after="0"/>
              <w:rPr>
                <w:sz w:val="20"/>
                <w:szCs w:val="20"/>
                <w:color w:val="auto"/>
              </w:rPr>
            </w:pPr>
            <w:r>
              <w:rPr>
                <w:rFonts w:ascii="Arial" w:cs="Arial" w:eastAsia="Arial" w:hAnsi="Arial"/>
                <w:sz w:val="18"/>
                <w:szCs w:val="18"/>
                <w:i w:val="1"/>
                <w:iCs w:val="1"/>
                <w:color w:val="auto"/>
              </w:rPr>
              <w:t>EBITDA Margin %</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19.4 %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16.4 %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20.2 %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17.3 %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22.4 %</w:t>
            </w:r>
          </w:p>
        </w:tc>
        <w:tc>
          <w:tcPr>
            <w:tcW w:w="0" w:type="dxa"/>
            <w:vAlign w:val="bottom"/>
          </w:tcPr>
          <w:p>
            <w:pPr>
              <w:spacing w:after="0"/>
              <w:rPr>
                <w:sz w:val="1"/>
                <w:szCs w:val="1"/>
                <w:color w:val="auto"/>
              </w:rPr>
            </w:pPr>
          </w:p>
        </w:tc>
      </w:tr>
      <w:tr>
        <w:trPr>
          <w:trHeight w:val="235"/>
        </w:trPr>
        <w:tc>
          <w:tcPr>
            <w:tcW w:w="2620" w:type="dxa"/>
            <w:vAlign w:val="bottom"/>
          </w:tcPr>
          <w:p>
            <w:pPr>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(7,182)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(6,540)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Total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19,330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18,847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20,358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22,886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22,686</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EBITDA Margin %</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9.3 %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10.1 %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11.0 %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10.4 %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11.2 %</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0" w:hanging="171"/>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transaction expenses, and gain (loss) on disposal of assets and other.</w:t>
      </w:r>
    </w:p>
    <w:p>
      <w:pPr>
        <w:spacing w:after="0" w:line="57" w:lineRule="exact"/>
        <w:rPr>
          <w:rFonts w:ascii="Arial" w:cs="Arial" w:eastAsia="Arial" w:hAnsi="Arial"/>
          <w:sz w:val="21"/>
          <w:szCs w:val="21"/>
          <w:color w:val="auto"/>
          <w:vertAlign w:val="superscript"/>
        </w:rPr>
      </w:pPr>
    </w:p>
    <w:p>
      <w:pPr>
        <w:jc w:val="both"/>
        <w:ind w:right="20" w:firstLine="9"/>
        <w:spacing w:after="0" w:line="219" w:lineRule="auto"/>
        <w:tabs>
          <w:tab w:leader="none" w:pos="179"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The Company believes that the presentation of EBITDA is useful to investors because EBITDA is an appropriate measure for evaluating operating performance and liquidity that reflects the resources available for strategic opportunities including, among others, investing in the business, strengthening the balance sheet, repurchasing securities and making strategic acquisitions. In addition, EBITDA is a widely used benchmark in the investment community. See the attached separate schedule for the reconciliation of GAAP to non-GAAP financial information.</w:t>
      </w:r>
    </w:p>
    <w:p>
      <w:pPr>
        <w:spacing w:after="0" w:line="2" w:lineRule="exact"/>
        <w:rPr>
          <w:rFonts w:ascii="Arial" w:cs="Arial" w:eastAsia="Arial" w:hAnsi="Arial"/>
          <w:sz w:val="20"/>
          <w:szCs w:val="20"/>
          <w:color w:val="auto"/>
          <w:vertAlign w:val="superscript"/>
        </w:rPr>
      </w:pPr>
    </w:p>
    <w:p>
      <w:pPr>
        <w:ind w:left="180" w:hanging="171"/>
        <w:spacing w:after="0" w:line="214"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Refer to Table 1 for schedule of adjusting items.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780"/>
          </w:cols>
          <w:pgMar w:left="560" w:top="926" w:right="55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schedule - Orders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40" w:type="dxa"/>
            <w:vAlign w:val="bottom"/>
          </w:tcPr>
          <w:p>
            <w:pPr>
              <w:spacing w:after="0"/>
              <w:rPr>
                <w:sz w:val="14"/>
                <w:szCs w:val="14"/>
                <w:color w:val="auto"/>
              </w:rPr>
            </w:pPr>
          </w:p>
        </w:tc>
        <w:tc>
          <w:tcPr>
            <w:tcW w:w="14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March 31, 2026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March 31, 2025</w:t>
            </w:r>
          </w:p>
        </w:tc>
        <w:tc>
          <w:tcPr>
            <w:tcW w:w="180" w:type="dxa"/>
            <w:vAlign w:val="bottom"/>
          </w:tcPr>
          <w:p>
            <w:pPr>
              <w:spacing w:after="0"/>
              <w:rPr>
                <w:sz w:val="14"/>
                <w:szCs w:val="14"/>
                <w:color w:val="auto"/>
              </w:rPr>
            </w:pPr>
          </w:p>
        </w:tc>
        <w:tc>
          <w:tcPr>
            <w:tcW w:w="144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9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135,458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132,133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106,407</w:t>
            </w:r>
          </w:p>
        </w:tc>
        <w:tc>
          <w:tcPr>
            <w:tcW w:w="0" w:type="dxa"/>
            <w:vAlign w:val="bottom"/>
          </w:tcPr>
          <w:p>
            <w:pPr>
              <w:spacing w:after="0"/>
              <w:rPr>
                <w:sz w:val="1"/>
                <w:szCs w:val="1"/>
                <w:color w:val="auto"/>
              </w:rPr>
            </w:pPr>
          </w:p>
        </w:tc>
      </w:tr>
      <w:tr>
        <w:trPr>
          <w:trHeight w:val="235"/>
        </w:trPr>
        <w:tc>
          <w:tcPr>
            <w:tcW w:w="594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80,790</w:t>
            </w:r>
          </w:p>
        </w:tc>
        <w:tc>
          <w:tcPr>
            <w:tcW w:w="0" w:type="dxa"/>
            <w:vAlign w:val="bottom"/>
          </w:tcPr>
          <w:p>
            <w:pPr>
              <w:spacing w:after="0"/>
              <w:rPr>
                <w:sz w:val="1"/>
                <w:szCs w:val="1"/>
                <w:color w:val="auto"/>
              </w:rPr>
            </w:pPr>
          </w:p>
        </w:tc>
      </w:tr>
      <w:tr>
        <w:trPr>
          <w:trHeight w:val="235"/>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orders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221,168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200,688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187,197</w:t>
            </w:r>
          </w:p>
        </w:tc>
        <w:tc>
          <w:tcPr>
            <w:tcW w:w="0" w:type="dxa"/>
            <w:vAlign w:val="bottom"/>
          </w:tcPr>
          <w:p>
            <w:pPr>
              <w:spacing w:after="0"/>
              <w:rPr>
                <w:sz w:val="1"/>
                <w:szCs w:val="1"/>
                <w:color w:val="auto"/>
              </w:rPr>
            </w:pPr>
          </w:p>
        </w:tc>
      </w:tr>
      <w:tr>
        <w:trPr>
          <w:trHeight w:val="482"/>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126,739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115,569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126,916</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82,098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77,796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75,461</w:t>
            </w:r>
          </w:p>
        </w:tc>
        <w:tc>
          <w:tcPr>
            <w:tcW w:w="0" w:type="dxa"/>
            <w:vAlign w:val="bottom"/>
          </w:tcPr>
          <w:p>
            <w:pPr>
              <w:spacing w:after="0"/>
              <w:rPr>
                <w:sz w:val="1"/>
                <w:szCs w:val="1"/>
                <w:color w:val="auto"/>
              </w:rPr>
            </w:pPr>
          </w:p>
        </w:tc>
      </w:tr>
      <w:tr>
        <w:trPr>
          <w:trHeight w:val="235"/>
        </w:trPr>
        <w:tc>
          <w:tcPr>
            <w:tcW w:w="5940" w:type="dxa"/>
            <w:vAlign w:val="bottom"/>
          </w:tcPr>
          <w:p>
            <w:pPr>
              <w:ind w:left="20"/>
              <w:spacing w:after="0"/>
              <w:rPr>
                <w:sz w:val="20"/>
                <w:szCs w:val="20"/>
                <w:color w:val="auto"/>
              </w:rPr>
            </w:pPr>
            <w:r>
              <w:rPr>
                <w:rFonts w:ascii="Arial" w:cs="Arial" w:eastAsia="Arial" w:hAnsi="Arial"/>
                <w:sz w:val="18"/>
                <w:szCs w:val="18"/>
                <w:color w:val="auto"/>
              </w:rPr>
              <w:t>Eliminations</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5"/>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208,700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193,279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202,200</w:t>
            </w:r>
          </w:p>
        </w:tc>
        <w:tc>
          <w:tcPr>
            <w:tcW w:w="0" w:type="dxa"/>
            <w:vAlign w:val="bottom"/>
          </w:tcPr>
          <w:p>
            <w:pPr>
              <w:spacing w:after="0"/>
              <w:rPr>
                <w:sz w:val="1"/>
                <w:szCs w:val="1"/>
                <w:color w:val="auto"/>
              </w:rPr>
            </w:pPr>
          </w:p>
        </w:tc>
      </w:tr>
      <w:tr>
        <w:trPr>
          <w:trHeight w:val="482"/>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 xml:space="preserve">Book to bill ratio </w:t>
            </w:r>
            <w:r>
              <w:rPr>
                <w:rFonts w:ascii="Arial" w:cs="Arial" w:eastAsia="Arial" w:hAnsi="Arial"/>
                <w:sz w:val="23"/>
                <w:szCs w:val="23"/>
                <w:b w:val="1"/>
                <w:bCs w:val="1"/>
                <w:color w:val="auto"/>
                <w:vertAlign w:val="superscript"/>
              </w:rPr>
              <w:t>(1)</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5"/>
        </w:trPr>
        <w:tc>
          <w:tcPr>
            <w:tcW w:w="594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Total book to bill ratio</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20" w:right="20" w:firstLine="1"/>
        <w:spacing w:after="0" w:line="211" w:lineRule="auto"/>
        <w:tabs>
          <w:tab w:leader="none" w:pos="207"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book-to-bill ratio is calculated by dividing the dollar value of orders received in a given period by the revenue earned in that same period. The Company believes that this ratio is useful to investors because it provides an indication of whether the demand for our products is strengthening or declining. A ratio of greater than one is indicative of improving market demand, while a ratio of less than one would suggest weakening demand. In addition, the Company believes the book-to-bill ratio provides more meaningful insight into future revenues for our business than other measures, such as order backlog, because the majority of our products are activity based consumable items or shorter cycle capital equipment, neither of which are typically ordered by customers far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0"/>
          </w:cols>
          <w:pgMar w:left="460" w:top="926" w:right="47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(Unaudited)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1 - Adjusting items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left="409"/>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March 31, 2026</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left="549"/>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December 31, 2025</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20" w:type="dxa"/>
            <w:vAlign w:val="bottom"/>
          </w:tcPr>
          <w:p>
            <w:pPr>
              <w:ind w:left="20"/>
              <w:spacing w:after="0" w:line="131" w:lineRule="exact"/>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0"/>
              <w:spacing w:after="0" w:line="131" w:lineRule="exact"/>
              <w:rPr>
                <w:sz w:val="20"/>
                <w:szCs w:val="20"/>
                <w:color w:val="auto"/>
              </w:rPr>
            </w:pPr>
            <w:r>
              <w:rPr>
                <w:rFonts w:ascii="Arial" w:cs="Arial" w:eastAsia="Arial" w:hAnsi="Arial"/>
                <w:sz w:val="13"/>
                <w:szCs w:val="13"/>
                <w:b w:val="1"/>
                <w:bCs w:val="1"/>
                <w:color w:val="auto"/>
              </w:rPr>
              <w:t>Net income</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7"/>
              </w:rPr>
              <w:t>Operating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0"/>
              <w:spacing w:after="0" w:line="131" w:lineRule="exact"/>
              <w:rPr>
                <w:sz w:val="20"/>
                <w:szCs w:val="20"/>
                <w:color w:val="auto"/>
              </w:rPr>
            </w:pPr>
            <w:r>
              <w:rPr>
                <w:rFonts w:ascii="Arial" w:cs="Arial" w:eastAsia="Arial" w:hAnsi="Arial"/>
                <w:sz w:val="13"/>
                <w:szCs w:val="13"/>
                <w:b w:val="1"/>
                <w:bCs w:val="1"/>
                <w:color w:val="auto"/>
              </w:rPr>
              <w:t>Net income</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7"/>
              </w:rPr>
              <w:t>Operating</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20"/>
              <w:spacing w:after="0" w:line="131" w:lineRule="exact"/>
              <w:rPr>
                <w:sz w:val="20"/>
                <w:szCs w:val="20"/>
                <w:color w:val="auto"/>
              </w:rPr>
            </w:pPr>
            <w:r>
              <w:rPr>
                <w:rFonts w:ascii="Arial" w:cs="Arial" w:eastAsia="Arial" w:hAnsi="Arial"/>
                <w:sz w:val="13"/>
                <w:szCs w:val="13"/>
                <w:b w:val="1"/>
                <w:bCs w:val="1"/>
                <w:color w:val="auto"/>
                <w:w w:val="99"/>
              </w:rPr>
              <w:t>Net income</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Arial" w:cs="Arial" w:eastAsia="Arial" w:hAnsi="Arial"/>
                <w:sz w:val="14"/>
                <w:szCs w:val="14"/>
                <w:i w:val="1"/>
                <w:iCs w:val="1"/>
                <w:color w:val="auto"/>
              </w:rPr>
              <w:t>information)</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 (loss)</w:t>
            </w: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EBITDA </w:t>
            </w:r>
            <w:r>
              <w:rPr>
                <w:rFonts w:ascii="Arial" w:cs="Arial" w:eastAsia="Arial" w:hAnsi="Arial"/>
                <w:sz w:val="16"/>
                <w:szCs w:val="16"/>
                <w:b w:val="1"/>
                <w:bCs w:val="1"/>
                <w:color w:val="auto"/>
                <w:vertAlign w:val="superscript"/>
              </w:rPr>
              <w:t>(1)</w:t>
            </w:r>
          </w:p>
        </w:tc>
        <w:tc>
          <w:tcPr>
            <w:tcW w:w="14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EBITDA </w:t>
            </w:r>
            <w:r>
              <w:rPr>
                <w:rFonts w:ascii="Arial" w:cs="Arial" w:eastAsia="Arial" w:hAnsi="Arial"/>
                <w:sz w:val="16"/>
                <w:szCs w:val="16"/>
                <w:b w:val="1"/>
                <w:bCs w:val="1"/>
                <w:color w:val="auto"/>
                <w:vertAlign w:val="superscript"/>
              </w:rPr>
              <w:t>(1)</w:t>
            </w:r>
          </w:p>
        </w:tc>
        <w:tc>
          <w:tcPr>
            <w:tcW w:w="16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EBITDA </w:t>
            </w:r>
            <w:r>
              <w:rPr>
                <w:rFonts w:ascii="Arial" w:cs="Arial" w:eastAsia="Arial" w:hAnsi="Arial"/>
                <w:sz w:val="16"/>
                <w:szCs w:val="16"/>
                <w:b w:val="1"/>
                <w:bCs w:val="1"/>
                <w:color w:val="auto"/>
                <w:vertAlign w:val="superscript"/>
              </w:rPr>
              <w:t>(1)</w:t>
            </w:r>
          </w:p>
        </w:tc>
        <w:tc>
          <w:tcPr>
            <w:tcW w:w="140" w:type="dxa"/>
            <w:vAlign w:val="bottom"/>
          </w:tcPr>
          <w:p>
            <w:pPr>
              <w:spacing w:after="0"/>
              <w:rPr>
                <w:sz w:val="16"/>
                <w:szCs w:val="16"/>
                <w:color w:val="auto"/>
              </w:rPr>
            </w:pPr>
          </w:p>
        </w:tc>
        <w:tc>
          <w:tcPr>
            <w:tcW w:w="600" w:type="dxa"/>
            <w:vAlign w:val="bottom"/>
          </w:tcPr>
          <w:p>
            <w:pPr>
              <w:jc w:val="right"/>
              <w:ind w:right="149"/>
              <w:spacing w:after="0"/>
              <w:rPr>
                <w:sz w:val="20"/>
                <w:szCs w:val="20"/>
                <w:color w:val="auto"/>
              </w:rPr>
            </w:pPr>
            <w:r>
              <w:rPr>
                <w:rFonts w:ascii="Arial" w:cs="Arial" w:eastAsia="Arial" w:hAnsi="Arial"/>
                <w:sz w:val="13"/>
                <w:szCs w:val="13"/>
                <w:b w:val="1"/>
                <w:bCs w:val="1"/>
                <w:color w:val="auto"/>
              </w:rPr>
              <w:t>(loss)</w:t>
            </w:r>
          </w:p>
        </w:tc>
        <w:tc>
          <w:tcPr>
            <w:tcW w:w="0" w:type="dxa"/>
            <w:vAlign w:val="bottom"/>
          </w:tcPr>
          <w:p>
            <w:pPr>
              <w:spacing w:after="0"/>
              <w:rPr>
                <w:sz w:val="1"/>
                <w:szCs w:val="1"/>
                <w:color w:val="auto"/>
              </w:rPr>
            </w:pPr>
          </w:p>
        </w:tc>
      </w:tr>
      <w:tr>
        <w:trPr>
          <w:trHeight w:val="194"/>
        </w:trPr>
        <w:tc>
          <w:tcPr>
            <w:tcW w:w="25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11,005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19,330</w:t>
            </w:r>
          </w:p>
        </w:tc>
        <w:tc>
          <w:tcPr>
            <w:tcW w:w="10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4,492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8,804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18,847</w:t>
            </w:r>
          </w:p>
        </w:tc>
        <w:tc>
          <w:tcPr>
            <w:tcW w:w="10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1,122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12,764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20,358</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2,072</w:t>
            </w:r>
          </w:p>
        </w:tc>
        <w:tc>
          <w:tcPr>
            <w:tcW w:w="0" w:type="dxa"/>
            <w:vAlign w:val="bottom"/>
          </w:tcPr>
          <w:p>
            <w:pPr>
              <w:spacing w:after="0"/>
              <w:rPr>
                <w:sz w:val="1"/>
                <w:szCs w:val="1"/>
                <w:color w:val="auto"/>
              </w:rPr>
            </w:pPr>
          </w:p>
        </w:tc>
      </w:tr>
      <w:tr>
        <w:trPr>
          <w:trHeight w:val="197"/>
        </w:trPr>
        <w:tc>
          <w:tcPr>
            <w:tcW w:w="2520" w:type="dxa"/>
            <w:vAlign w:val="bottom"/>
          </w:tcPr>
          <w:p>
            <w:pPr>
              <w:ind w:left="140"/>
              <w:spacing w:after="0"/>
              <w:rPr>
                <w:sz w:val="20"/>
                <w:szCs w:val="20"/>
                <w:color w:val="auto"/>
              </w:rPr>
            </w:pPr>
            <w:r>
              <w:rPr>
                <w:rFonts w:ascii="Arial" w:cs="Arial" w:eastAsia="Arial" w:hAnsi="Arial"/>
                <w:sz w:val="14"/>
                <w:szCs w:val="14"/>
                <w:i w:val="1"/>
                <w:iCs w:val="1"/>
                <w:color w:val="auto"/>
              </w:rPr>
              <w:t>% of revenue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5.3 %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9.3 %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9.8 %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6.3 %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10.1 %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140"/>
              <w:spacing w:after="0"/>
              <w:rPr>
                <w:sz w:val="20"/>
                <w:szCs w:val="20"/>
                <w:color w:val="auto"/>
              </w:rPr>
            </w:pPr>
            <w:r>
              <w:rPr>
                <w:rFonts w:ascii="Arial" w:cs="Arial" w:eastAsia="Arial" w:hAnsi="Arial"/>
                <w:sz w:val="14"/>
                <w:szCs w:val="14"/>
                <w:color w:val="auto"/>
              </w:rPr>
              <w:t>Restructuring and other costs</w:t>
            </w:r>
          </w:p>
        </w:tc>
        <w:tc>
          <w:tcPr>
            <w:tcW w:w="10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1,488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1,488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1,488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03"/>
        </w:trPr>
        <w:tc>
          <w:tcPr>
            <w:tcW w:w="2520" w:type="dxa"/>
            <w:vAlign w:val="bottom"/>
          </w:tcPr>
          <w:p>
            <w:pPr>
              <w:ind w:left="140"/>
              <w:spacing w:after="0"/>
              <w:rPr>
                <w:sz w:val="20"/>
                <w:szCs w:val="20"/>
                <w:color w:val="auto"/>
              </w:rPr>
            </w:pPr>
            <w:r>
              <w:rPr>
                <w:rFonts w:ascii="Arial" w:cs="Arial" w:eastAsia="Arial" w:hAnsi="Arial"/>
                <w:sz w:val="14"/>
                <w:szCs w:val="14"/>
                <w:color w:val="auto"/>
              </w:rPr>
              <w:t>Transaction expenses</w:t>
            </w:r>
          </w:p>
        </w:tc>
        <w:tc>
          <w:tcPr>
            <w:tcW w:w="10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1"/>
        </w:trPr>
        <w:tc>
          <w:tcPr>
            <w:tcW w:w="2520" w:type="dxa"/>
            <w:vAlign w:val="bottom"/>
          </w:tcPr>
          <w:p>
            <w:pPr>
              <w:ind w:left="140"/>
              <w:spacing w:after="0"/>
              <w:rPr>
                <w:sz w:val="20"/>
                <w:szCs w:val="20"/>
                <w:color w:val="auto"/>
              </w:rPr>
            </w:pPr>
            <w:r>
              <w:rPr>
                <w:rFonts w:ascii="Arial" w:cs="Arial" w:eastAsia="Arial" w:hAnsi="Arial"/>
                <w:sz w:val="14"/>
                <w:szCs w:val="14"/>
                <w:color w:val="auto"/>
              </w:rPr>
              <w:t>Inventory and other assets</w:t>
            </w:r>
          </w:p>
        </w:tc>
        <w:tc>
          <w:tcPr>
            <w:tcW w:w="100" w:type="dxa"/>
            <w:vAlign w:val="bottom"/>
          </w:tcPr>
          <w:p>
            <w:pPr>
              <w:spacing w:after="0"/>
              <w:rPr>
                <w:sz w:val="13"/>
                <w:szCs w:val="13"/>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09"/>
        </w:trPr>
        <w:tc>
          <w:tcPr>
            <w:tcW w:w="2520" w:type="dxa"/>
            <w:vAlign w:val="bottom"/>
            <w:vMerge w:val="restart"/>
          </w:tcPr>
          <w:p>
            <w:pPr>
              <w:ind w:left="140"/>
              <w:spacing w:after="0"/>
              <w:rPr>
                <w:sz w:val="20"/>
                <w:szCs w:val="20"/>
                <w:color w:val="auto"/>
              </w:rPr>
            </w:pPr>
            <w:r>
              <w:rPr>
                <w:rFonts w:ascii="Arial" w:cs="Arial" w:eastAsia="Arial" w:hAnsi="Arial"/>
                <w:sz w:val="14"/>
                <w:szCs w:val="14"/>
                <w:color w:val="auto"/>
              </w:rPr>
              <w:t>impairment adjustments</w:t>
            </w: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52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2,520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2,598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520" w:type="dxa"/>
            <w:vAlign w:val="bottom"/>
          </w:tcPr>
          <w:p>
            <w:pPr>
              <w:ind w:left="140"/>
              <w:spacing w:after="0" w:line="159" w:lineRule="exact"/>
              <w:rPr>
                <w:sz w:val="20"/>
                <w:szCs w:val="20"/>
                <w:color w:val="auto"/>
              </w:rPr>
            </w:pPr>
            <w:r>
              <w:rPr>
                <w:rFonts w:ascii="Arial" w:cs="Arial" w:eastAsia="Arial" w:hAnsi="Arial"/>
                <w:sz w:val="14"/>
                <w:szCs w:val="14"/>
                <w:color w:val="auto"/>
              </w:rPr>
              <w:t>Foreign exchange losses (gains)</w:t>
            </w:r>
          </w:p>
        </w:tc>
        <w:tc>
          <w:tcPr>
            <w:tcW w:w="100" w:type="dxa"/>
            <w:vAlign w:val="bottom"/>
          </w:tcPr>
          <w:p>
            <w:pPr>
              <w:spacing w:after="0"/>
              <w:rPr>
                <w:sz w:val="13"/>
                <w:szCs w:val="13"/>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89"/>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109"/>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5"/>
        </w:trPr>
        <w:tc>
          <w:tcPr>
            <w:tcW w:w="2520" w:type="dxa"/>
            <w:vAlign w:val="bottom"/>
          </w:tcPr>
          <w:p>
            <w:pPr>
              <w:ind w:left="140"/>
              <w:spacing w:after="0" w:line="205" w:lineRule="exact"/>
              <w:rPr>
                <w:sz w:val="20"/>
                <w:szCs w:val="20"/>
                <w:color w:val="auto"/>
              </w:rPr>
            </w:pPr>
            <w:r>
              <w:rPr>
                <w:rFonts w:ascii="Arial" w:cs="Arial" w:eastAsia="Arial" w:hAnsi="Arial"/>
                <w:sz w:val="14"/>
                <w:szCs w:val="14"/>
                <w:color w:val="auto"/>
              </w:rPr>
              <w:t xml:space="preserve">and other, net </w:t>
            </w:r>
            <w:r>
              <w:rPr>
                <w:rFonts w:ascii="Arial" w:cs="Arial" w:eastAsia="Arial" w:hAnsi="Arial"/>
                <w:sz w:val="18"/>
                <w:szCs w:val="18"/>
                <w:color w:val="auto"/>
                <w:vertAlign w:val="superscript"/>
              </w:rPr>
              <w:t>(2)</w:t>
            </w: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20" w:type="dxa"/>
            <w:vAlign w:val="bottom"/>
          </w:tcPr>
          <w:p>
            <w:pPr>
              <w:ind w:left="140"/>
              <w:spacing w:after="0"/>
              <w:rPr>
                <w:sz w:val="20"/>
                <w:szCs w:val="20"/>
                <w:color w:val="auto"/>
              </w:rPr>
            </w:pPr>
            <w:r>
              <w:rPr>
                <w:rFonts w:ascii="Arial" w:cs="Arial" w:eastAsia="Arial" w:hAnsi="Arial"/>
                <w:sz w:val="14"/>
                <w:szCs w:val="14"/>
                <w:color w:val="auto"/>
              </w:rPr>
              <w:t>Foreign tax settlement</w:t>
            </w:r>
          </w:p>
        </w:tc>
        <w:tc>
          <w:tcPr>
            <w:tcW w:w="1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3,163</w:t>
            </w:r>
          </w:p>
        </w:tc>
        <w:tc>
          <w:tcPr>
            <w:tcW w:w="0" w:type="dxa"/>
            <w:vAlign w:val="bottom"/>
          </w:tcPr>
          <w:p>
            <w:pPr>
              <w:spacing w:after="0"/>
              <w:rPr>
                <w:sz w:val="1"/>
                <w:szCs w:val="1"/>
                <w:color w:val="auto"/>
              </w:rPr>
            </w:pPr>
          </w:p>
        </w:tc>
      </w:tr>
      <w:tr>
        <w:trPr>
          <w:trHeight w:val="200"/>
        </w:trPr>
        <w:tc>
          <w:tcPr>
            <w:tcW w:w="2520" w:type="dxa"/>
            <w:vAlign w:val="bottom"/>
          </w:tcPr>
          <w:p>
            <w:pPr>
              <w:ind w:left="20"/>
              <w:spacing w:after="0" w:line="200" w:lineRule="exact"/>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8"/>
                <w:szCs w:val="18"/>
                <w:b w:val="1"/>
                <w:bCs w:val="1"/>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12,555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22,886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5,528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9,566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20,058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12,267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22,686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4,965</w:t>
            </w:r>
          </w:p>
        </w:tc>
        <w:tc>
          <w:tcPr>
            <w:tcW w:w="0" w:type="dxa"/>
            <w:vAlign w:val="bottom"/>
          </w:tcPr>
          <w:p>
            <w:pPr>
              <w:spacing w:after="0"/>
              <w:rPr>
                <w:sz w:val="1"/>
                <w:szCs w:val="1"/>
                <w:color w:val="auto"/>
              </w:rPr>
            </w:pPr>
          </w:p>
        </w:tc>
      </w:tr>
      <w:tr>
        <w:trPr>
          <w:trHeight w:val="21"/>
        </w:trPr>
        <w:tc>
          <w:tcPr>
            <w:tcW w:w="25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 of revenue</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6.0 %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10.4 %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6.1 %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2520" w:type="dxa"/>
            <w:vAlign w:val="bottom"/>
          </w:tcPr>
          <w:p>
            <w:pPr>
              <w:ind w:left="140"/>
              <w:spacing w:after="0"/>
              <w:rPr>
                <w:sz w:val="20"/>
                <w:szCs w:val="20"/>
                <w:color w:val="auto"/>
              </w:rPr>
            </w:pPr>
            <w:r>
              <w:rPr>
                <w:rFonts w:ascii="Arial" w:cs="Arial" w:eastAsia="Arial" w:hAnsi="Arial"/>
                <w:sz w:val="14"/>
                <w:szCs w:val="14"/>
                <w:color w:val="auto"/>
              </w:rPr>
              <w:t>Diluted shares outstanding as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11,641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12,568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12,085</w:t>
            </w:r>
          </w:p>
        </w:tc>
        <w:tc>
          <w:tcPr>
            <w:tcW w:w="0" w:type="dxa"/>
            <w:vAlign w:val="bottom"/>
          </w:tcPr>
          <w:p>
            <w:pPr>
              <w:spacing w:after="0"/>
              <w:rPr>
                <w:sz w:val="1"/>
                <w:szCs w:val="1"/>
                <w:color w:val="auto"/>
              </w:rPr>
            </w:pPr>
          </w:p>
        </w:tc>
      </w:tr>
      <w:tr>
        <w:trPr>
          <w:trHeight w:val="109"/>
        </w:trPr>
        <w:tc>
          <w:tcPr>
            <w:tcW w:w="2520" w:type="dxa"/>
            <w:vAlign w:val="bottom"/>
            <w:vMerge w:val="restart"/>
          </w:tcPr>
          <w:p>
            <w:pPr>
              <w:ind w:left="140"/>
              <w:spacing w:after="0"/>
              <w:rPr>
                <w:sz w:val="20"/>
                <w:szCs w:val="20"/>
                <w:color w:val="auto"/>
              </w:rPr>
            </w:pPr>
            <w:r>
              <w:rPr>
                <w:rFonts w:ascii="Arial" w:cs="Arial" w:eastAsia="Arial" w:hAnsi="Arial"/>
                <w:sz w:val="14"/>
                <w:szCs w:val="14"/>
                <w:color w:val="auto"/>
              </w:rPr>
              <w:t>reported</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Diluted shares outstanding as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11,641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12,568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12,085</w:t>
            </w:r>
          </w:p>
        </w:tc>
        <w:tc>
          <w:tcPr>
            <w:tcW w:w="0" w:type="dxa"/>
            <w:vAlign w:val="bottom"/>
          </w:tcPr>
          <w:p>
            <w:pPr>
              <w:spacing w:after="0"/>
              <w:rPr>
                <w:sz w:val="1"/>
                <w:szCs w:val="1"/>
                <w:color w:val="auto"/>
              </w:rPr>
            </w:pPr>
          </w:p>
        </w:tc>
      </w:tr>
      <w:tr>
        <w:trPr>
          <w:trHeight w:val="109"/>
        </w:trPr>
        <w:tc>
          <w:tcPr>
            <w:tcW w:w="2520" w:type="dxa"/>
            <w:vAlign w:val="bottom"/>
            <w:vMerge w:val="restart"/>
          </w:tcPr>
          <w:p>
            <w:pPr>
              <w:ind w:left="140"/>
              <w:spacing w:after="0"/>
              <w:rPr>
                <w:sz w:val="20"/>
                <w:szCs w:val="20"/>
                <w:color w:val="auto"/>
              </w:rPr>
            </w:pPr>
            <w:r>
              <w:rPr>
                <w:rFonts w:ascii="Arial" w:cs="Arial" w:eastAsia="Arial" w:hAnsi="Arial"/>
                <w:sz w:val="14"/>
                <w:szCs w:val="14"/>
                <w:color w:val="auto"/>
              </w:rPr>
              <w:t>adjusted</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2520" w:type="dxa"/>
            <w:vAlign w:val="bottom"/>
          </w:tcPr>
          <w:p>
            <w:pPr>
              <w:ind w:left="140"/>
              <w:spacing w:after="0"/>
              <w:rPr>
                <w:sz w:val="20"/>
                <w:szCs w:val="20"/>
                <w:color w:val="auto"/>
              </w:rPr>
            </w:pPr>
            <w:r>
              <w:rPr>
                <w:rFonts w:ascii="Arial" w:cs="Arial" w:eastAsia="Arial" w:hAnsi="Arial"/>
                <w:sz w:val="14"/>
                <w:szCs w:val="14"/>
                <w:color w:val="auto"/>
              </w:rPr>
              <w:t>Diluted EPS - as reported</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3"/>
        </w:trPr>
        <w:tc>
          <w:tcPr>
            <w:tcW w:w="2520" w:type="dxa"/>
            <w:vAlign w:val="bottom"/>
          </w:tcPr>
          <w:p>
            <w:pPr>
              <w:ind w:left="140"/>
              <w:spacing w:after="0"/>
              <w:rPr>
                <w:sz w:val="20"/>
                <w:szCs w:val="20"/>
                <w:color w:val="auto"/>
              </w:rPr>
            </w:pPr>
            <w:r>
              <w:rPr>
                <w:rFonts w:ascii="Arial" w:cs="Arial" w:eastAsia="Arial" w:hAnsi="Arial"/>
                <w:sz w:val="14"/>
                <w:szCs w:val="14"/>
                <w:color w:val="auto"/>
              </w:rPr>
              <w:t>Diluted EPS - as adjusted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20" w:right="20" w:hanging="5"/>
        <w:spacing w:after="0" w:line="211" w:lineRule="auto"/>
        <w:tabs>
          <w:tab w:leader="none" w:pos="197"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Company believes that the presentation of EBITDA, adjusted EBITDA, adjusted operating loss, adjusted net loss and adjusted diluted EPS are useful to investors because (i) each of these financial metrics are useful to investors to assess and understand operating performance, especially when comparing those results with previous and subsequent periods or forecasting performance for future periods, primarily because management views the excluded items to be outside of normal operating results and (ii) EBITDA is an appropriate measure of evaluating operating performance and liquidity that reflects the resources available for strategic opportunities including, among others, investing in the business, strengthening the balance sheet, repurchasing securities and making strategic acquisitions. In addition, these benchmarks are widely used in the investment community. See the attached separate schedule for the reconciliation of GAAP to non-GAAP financial information.</w:t>
      </w:r>
    </w:p>
    <w:p>
      <w:pPr>
        <w:spacing w:after="0" w:line="288" w:lineRule="exact"/>
        <w:rPr>
          <w:rFonts w:ascii="Arial" w:cs="Arial" w:eastAsia="Arial" w:hAnsi="Arial"/>
          <w:sz w:val="21"/>
          <w:szCs w:val="21"/>
          <w:color w:val="auto"/>
          <w:vertAlign w:val="superscript"/>
        </w:rPr>
      </w:pPr>
    </w:p>
    <w:p>
      <w:pPr>
        <w:ind w:left="20" w:right="20" w:hanging="5"/>
        <w:spacing w:after="0" w:line="212" w:lineRule="auto"/>
        <w:tabs>
          <w:tab w:leader="none" w:pos="20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Foreign exchange, net primarily relates to cash and receivables denominated in U.S. dollars by some of our non-U.S. subsidiaries that report in a local currency, and therefore the loss (gain) has no economic impact in dollar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820"/>
          </w:cols>
          <w:pgMar w:left="540" w:top="926" w:right="5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2 - Adjusting Items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14"/>
                <w:szCs w:val="14"/>
                <w:color w:val="auto"/>
              </w:rPr>
            </w:pPr>
          </w:p>
        </w:tc>
        <w:tc>
          <w:tcPr>
            <w:tcW w:w="14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March 31, 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March 31, 2025</w:t>
            </w:r>
          </w:p>
        </w:tc>
        <w:tc>
          <w:tcPr>
            <w:tcW w:w="160" w:type="dxa"/>
            <w:vAlign w:val="bottom"/>
          </w:tcPr>
          <w:p>
            <w:pPr>
              <w:spacing w:after="0"/>
              <w:rPr>
                <w:sz w:val="14"/>
                <w:szCs w:val="14"/>
                <w:color w:val="auto"/>
              </w:rPr>
            </w:pPr>
          </w:p>
        </w:tc>
        <w:tc>
          <w:tcPr>
            <w:tcW w:w="148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7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5780" w:type="dxa"/>
            <w:vAlign w:val="bottom"/>
            <w:tcBorders>
              <w:top w:val="single" w:sz="8" w:color="auto"/>
            </w:tcBorders>
          </w:tcPr>
          <w:p>
            <w:pPr>
              <w:ind w:left="20"/>
              <w:spacing w:after="0" w:line="218" w:lineRule="exact"/>
              <w:rPr>
                <w:sz w:val="20"/>
                <w:szCs w:val="20"/>
                <w:color w:val="auto"/>
              </w:rPr>
            </w:pPr>
            <w:r>
              <w:rPr>
                <w:rFonts w:ascii="Arial" w:cs="Arial" w:eastAsia="Arial" w:hAnsi="Arial"/>
                <w:sz w:val="18"/>
                <w:szCs w:val="18"/>
                <w:b w:val="1"/>
                <w:bCs w:val="1"/>
                <w:color w:val="auto"/>
              </w:rPr>
              <w:t xml:space="preserve">EBITDA reconciliation </w:t>
            </w:r>
            <w:r>
              <w:rPr>
                <w:rFonts w:ascii="Arial" w:cs="Arial" w:eastAsia="Arial" w:hAnsi="Arial"/>
                <w:sz w:val="23"/>
                <w:szCs w:val="23"/>
                <w:b w:val="1"/>
                <w:bCs w:val="1"/>
                <w:color w:val="auto"/>
                <w:vertAlign w:val="superscript"/>
              </w:rPr>
              <w:t>(1)</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35"/>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23"/>
        </w:trPr>
        <w:tc>
          <w:tcPr>
            <w:tcW w:w="5780" w:type="dxa"/>
            <w:vAlign w:val="bottom"/>
          </w:tcPr>
          <w:p>
            <w:pPr>
              <w:ind w:left="280"/>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20" w:right="20" w:firstLine="8"/>
        <w:spacing w:after="0"/>
        <w:tabs>
          <w:tab w:leader="none" w:pos="222"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 Company believes adjusted EBITDA is useful to investors because it is an appropriate measure of evaluating operating performance and liquidity. It reflects the resources available for strategic opportunities including, among others, investing in the business, strengthening the balance sheet, repurchasing securities, and making strategic acquisitions. In addition, adjusted EBITDA is a widely used benchmark in the investment community.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3 - Adjusting items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40" w:type="dxa"/>
            <w:vAlign w:val="bottom"/>
          </w:tcPr>
          <w:p>
            <w:pPr>
              <w:spacing w:after="0"/>
              <w:rPr>
                <w:sz w:val="14"/>
                <w:szCs w:val="14"/>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March 31, 2026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March 31, 2025</w:t>
            </w:r>
          </w:p>
        </w:tc>
        <w:tc>
          <w:tcPr>
            <w:tcW w:w="180" w:type="dxa"/>
            <w:vAlign w:val="bottom"/>
          </w:tcPr>
          <w:p>
            <w:pPr>
              <w:spacing w:after="0"/>
              <w:rPr>
                <w:sz w:val="14"/>
                <w:szCs w:val="14"/>
                <w:color w:val="auto"/>
              </w:rPr>
            </w:pPr>
          </w:p>
        </w:tc>
        <w:tc>
          <w:tcPr>
            <w:tcW w:w="146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18"/>
        </w:trPr>
        <w:tc>
          <w:tcPr>
            <w:tcW w:w="5800" w:type="dxa"/>
            <w:vAlign w:val="bottom"/>
            <w:tcBorders>
              <w:top w:val="single" w:sz="8" w:color="auto"/>
            </w:tcBorders>
          </w:tcPr>
          <w:p>
            <w:pPr>
              <w:ind w:left="20"/>
              <w:spacing w:after="0" w:line="218" w:lineRule="exact"/>
              <w:rPr>
                <w:sz w:val="20"/>
                <w:szCs w:val="20"/>
                <w:color w:val="auto"/>
              </w:rPr>
            </w:pPr>
            <w:r>
              <w:rPr>
                <w:rFonts w:ascii="Arial" w:cs="Arial" w:eastAsia="Arial" w:hAnsi="Arial"/>
                <w:sz w:val="18"/>
                <w:szCs w:val="18"/>
                <w:b w:val="1"/>
                <w:bCs w:val="1"/>
                <w:color w:val="auto"/>
              </w:rPr>
              <w:t xml:space="preserve">Free cash flow, before acquisitions, reconciliation </w:t>
            </w:r>
            <w:r>
              <w:rPr>
                <w:rFonts w:ascii="Arial" w:cs="Arial" w:eastAsia="Arial" w:hAnsi="Arial"/>
                <w:sz w:val="23"/>
                <w:szCs w:val="23"/>
                <w:b w:val="1"/>
                <w:bCs w:val="1"/>
                <w:color w:val="auto"/>
                <w:vertAlign w:val="superscript"/>
              </w:rPr>
              <w:t>(1)</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22,437</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Capital expenditures for property and equipment</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5"/>
        </w:trPr>
        <w:tc>
          <w:tcPr>
            <w:tcW w:w="580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Free cash flow, before acquisitions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 w:right="20" w:hanging="5"/>
        <w:spacing w:after="0" w:line="212" w:lineRule="auto"/>
        <w:tabs>
          <w:tab w:leader="none" w:pos="26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Company believes free cash flow, before acquisitions is an important measure because it encompasses both profitability and capital management in evaluating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20"/>
          </w:cols>
          <w:pgMar w:left="480" w:top="926"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Table 4 - Net Leverage Ratio </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2026</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December 31, 2025</w:t>
            </w:r>
          </w:p>
        </w:tc>
      </w:tr>
      <w:tr>
        <w:trPr>
          <w:trHeight w:val="218"/>
        </w:trPr>
        <w:tc>
          <w:tcPr>
            <w:tcW w:w="7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2029 Bonds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55,053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37,282</w:t>
            </w: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Other debt</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 principal amount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158,804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141,290</w:t>
            </w:r>
          </w:p>
        </w:tc>
      </w:tr>
      <w:tr>
        <w:trPr>
          <w:trHeight w:val="235"/>
        </w:trPr>
        <w:tc>
          <w:tcPr>
            <w:tcW w:w="758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37,488</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34,661</w:t>
            </w:r>
          </w:p>
        </w:tc>
      </w:tr>
      <w:tr>
        <w:trPr>
          <w:trHeight w:val="232"/>
        </w:trPr>
        <w:tc>
          <w:tcPr>
            <w:tcW w:w="7580" w:type="dxa"/>
            <w:vAlign w:val="bottom"/>
          </w:tcPr>
          <w:p>
            <w:pPr>
              <w:ind w:left="20"/>
              <w:spacing w:after="0"/>
              <w:rPr>
                <w:sz w:val="20"/>
                <w:szCs w:val="20"/>
                <w:color w:val="auto"/>
              </w:rPr>
            </w:pPr>
            <w:r>
              <w:rPr>
                <w:rFonts w:ascii="Arial" w:cs="Arial" w:eastAsia="Arial" w:hAnsi="Arial"/>
                <w:sz w:val="18"/>
                <w:szCs w:val="18"/>
                <w:color w:val="auto"/>
              </w:rPr>
              <w:t>Net debt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121,316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106,629</w:t>
            </w:r>
          </w:p>
        </w:tc>
      </w:tr>
      <w:tr>
        <w:trPr>
          <w:trHeight w:val="477"/>
        </w:trPr>
        <w:tc>
          <w:tcPr>
            <w:tcW w:w="7580" w:type="dxa"/>
            <w:vAlign w:val="bottom"/>
          </w:tcPr>
          <w:p>
            <w:pPr>
              <w:ind w:left="20"/>
              <w:spacing w:after="0"/>
              <w:rPr>
                <w:sz w:val="20"/>
                <w:szCs w:val="20"/>
                <w:color w:val="auto"/>
              </w:rPr>
            </w:pPr>
            <w:r>
              <w:rPr>
                <w:rFonts w:ascii="Arial" w:cs="Arial" w:eastAsia="Arial" w:hAnsi="Arial"/>
                <w:sz w:val="18"/>
                <w:szCs w:val="18"/>
                <w:color w:val="auto"/>
              </w:rPr>
              <w:t>Trailing Twelve Months Adjusted EBITDA</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89,230</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86,403</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leverage ratio</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 w:hanging="173"/>
        <w:spacing w:after="0"/>
        <w:tabs>
          <w:tab w:leader="none" w:pos="20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Company believes net leverage ratio is an important measure because it represents the Company's ability to meet its financial obligations.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5 - Revenue Per Rig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5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March 31, 2026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March 31, 2025</w:t>
            </w:r>
          </w:p>
        </w:tc>
        <w:tc>
          <w:tcPr>
            <w:tcW w:w="1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March 31, 2024</w:t>
            </w:r>
          </w:p>
        </w:tc>
        <w:tc>
          <w:tcPr>
            <w:tcW w:w="0" w:type="dxa"/>
            <w:vAlign w:val="bottom"/>
          </w:tcPr>
          <w:p>
            <w:pPr>
              <w:spacing w:after="0"/>
              <w:rPr>
                <w:sz w:val="1"/>
                <w:szCs w:val="1"/>
                <w:color w:val="auto"/>
              </w:rPr>
            </w:pPr>
          </w:p>
        </w:tc>
      </w:tr>
      <w:tr>
        <w:trPr>
          <w:trHeight w:val="215"/>
        </w:trPr>
        <w:tc>
          <w:tcPr>
            <w:tcW w:w="5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208,700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193,279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202,392</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line="237" w:lineRule="exact"/>
              <w:rPr>
                <w:sz w:val="20"/>
                <w:szCs w:val="20"/>
                <w:color w:val="auto"/>
              </w:rPr>
            </w:pPr>
            <w:r>
              <w:rPr>
                <w:rFonts w:ascii="Arial" w:cs="Arial" w:eastAsia="Arial" w:hAnsi="Arial"/>
                <w:sz w:val="18"/>
                <w:szCs w:val="18"/>
                <w:color w:val="auto"/>
              </w:rPr>
              <w:t xml:space="preserve">Average global rig count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Free cash flow, before acquisitions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80" w:right="80" w:hanging="5"/>
        <w:spacing w:after="0" w:line="212" w:lineRule="auto"/>
        <w:tabs>
          <w:tab w:leader="none" w:pos="265"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table above shows the average number of active drilling rigs operating based on the weekly rig count information published by Baker Hughes Company. In the third quarter of 2025, Baker Hughes implemented a revised methodology for counting rigs, primarily affecting data pertaining to Saudi Arabia. Baker Hughes only adjusted data back January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00"/>
          </w:cols>
          <w:pgMar w:left="440" w:top="926" w:right="45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Forum Energy Technologies,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schedule - Product line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of dollars)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3"/>
          </w:tcPr>
          <w:p>
            <w:pPr>
              <w:ind w:left="320"/>
              <w:spacing w:after="0"/>
              <w:rPr>
                <w:sz w:val="20"/>
                <w:szCs w:val="20"/>
                <w:color w:val="auto"/>
              </w:rPr>
            </w:pPr>
            <w:r>
              <w:rPr>
                <w:rFonts w:ascii="Arial" w:cs="Arial" w:eastAsia="Arial" w:hAnsi="Arial"/>
                <w:sz w:val="18"/>
                <w:szCs w:val="18"/>
                <w:b w:val="1"/>
                <w:bCs w:val="1"/>
                <w:color w:val="auto"/>
              </w:rPr>
              <w:t>March 31, 2026</w:t>
            </w:r>
          </w:p>
        </w:tc>
        <w:tc>
          <w:tcPr>
            <w:tcW w:w="240" w:type="dxa"/>
            <w:vAlign w:val="bottom"/>
          </w:tcPr>
          <w:p>
            <w:pPr>
              <w:spacing w:after="0"/>
              <w:rPr>
                <w:sz w:val="19"/>
                <w:szCs w:val="19"/>
                <w:color w:val="auto"/>
              </w:rPr>
            </w:pPr>
          </w:p>
        </w:tc>
        <w:tc>
          <w:tcPr>
            <w:tcW w:w="2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9"/>
              </w:rPr>
              <w:t>March 31, 2025</w:t>
            </w:r>
          </w:p>
        </w:tc>
        <w:tc>
          <w:tcPr>
            <w:tcW w:w="280" w:type="dxa"/>
            <w:vAlign w:val="bottom"/>
          </w:tcPr>
          <w:p>
            <w:pPr>
              <w:spacing w:after="0"/>
              <w:rPr>
                <w:sz w:val="19"/>
                <w:szCs w:val="19"/>
                <w:color w:val="auto"/>
              </w:rPr>
            </w:pPr>
          </w:p>
        </w:tc>
        <w:tc>
          <w:tcPr>
            <w:tcW w:w="2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540" w:type="dxa"/>
            <w:vAlign w:val="bottom"/>
          </w:tcPr>
          <w:p>
            <w:pPr>
              <w:ind w:left="140"/>
              <w:spacing w:after="0"/>
              <w:rPr>
                <w:sz w:val="20"/>
                <w:szCs w:val="20"/>
                <w:color w:val="auto"/>
              </w:rPr>
            </w:pPr>
            <w:r>
              <w:rPr>
                <w:rFonts w:ascii="Arial" w:cs="Arial" w:eastAsia="Arial" w:hAnsi="Arial"/>
                <w:sz w:val="18"/>
                <w:szCs w:val="18"/>
                <w:color w:val="auto"/>
              </w:rPr>
              <w:t>Drilling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32,730</w:t>
            </w:r>
          </w:p>
        </w:tc>
        <w:tc>
          <w:tcPr>
            <w:tcW w:w="1020" w:type="dxa"/>
            <w:vAlign w:val="bottom"/>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32,113</w:t>
            </w:r>
          </w:p>
        </w:tc>
        <w:tc>
          <w:tcPr>
            <w:tcW w:w="104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35,713</w:t>
            </w:r>
          </w:p>
        </w:tc>
        <w:tc>
          <w:tcPr>
            <w:tcW w:w="102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Subsea</w:t>
            </w:r>
          </w:p>
        </w:tc>
        <w:tc>
          <w:tcPr>
            <w:tcW w:w="28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35,495</w:t>
            </w:r>
          </w:p>
        </w:tc>
        <w:tc>
          <w:tcPr>
            <w:tcW w:w="1020" w:type="dxa"/>
            <w:vAlign w:val="bottom"/>
          </w:tcPr>
          <w:p>
            <w:pPr>
              <w:jc w:val="right"/>
              <w:spacing w:after="0"/>
              <w:rPr>
                <w:sz w:val="20"/>
                <w:szCs w:val="20"/>
                <w:color w:val="auto"/>
              </w:rPr>
            </w:pPr>
            <w:r>
              <w:rPr>
                <w:rFonts w:ascii="Arial" w:cs="Arial" w:eastAsia="Arial" w:hAnsi="Arial"/>
                <w:sz w:val="18"/>
                <w:szCs w:val="18"/>
                <w:color w:val="auto"/>
              </w:rPr>
              <w:t>17.0 %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22,140</w:t>
            </w:r>
          </w:p>
        </w:tc>
        <w:tc>
          <w:tcPr>
            <w:tcW w:w="104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29,513</w:t>
            </w:r>
          </w:p>
        </w:tc>
        <w:tc>
          <w:tcPr>
            <w:tcW w:w="102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Stimulation and Intervention</w:t>
            </w:r>
          </w:p>
        </w:tc>
        <w:tc>
          <w:tcPr>
            <w:tcW w:w="28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33,047</w:t>
            </w:r>
          </w:p>
        </w:tc>
        <w:tc>
          <w:tcPr>
            <w:tcW w:w="1020" w:type="dxa"/>
            <w:vAlign w:val="bottom"/>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37,428</w:t>
            </w:r>
          </w:p>
        </w:tc>
        <w:tc>
          <w:tcPr>
            <w:tcW w:w="1040" w:type="dxa"/>
            <w:vAlign w:val="bottom"/>
          </w:tcPr>
          <w:p>
            <w:pPr>
              <w:jc w:val="right"/>
              <w:spacing w:after="0"/>
              <w:rPr>
                <w:sz w:val="20"/>
                <w:szCs w:val="20"/>
                <w:color w:val="auto"/>
              </w:rPr>
            </w:pPr>
            <w:r>
              <w:rPr>
                <w:rFonts w:ascii="Arial" w:cs="Arial" w:eastAsia="Arial" w:hAnsi="Arial"/>
                <w:sz w:val="18"/>
                <w:szCs w:val="18"/>
                <w:color w:val="auto"/>
              </w:rPr>
              <w:t>19.4 %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30,854</w:t>
            </w:r>
          </w:p>
        </w:tc>
        <w:tc>
          <w:tcPr>
            <w:tcW w:w="1020" w:type="dxa"/>
            <w:vAlign w:val="bottom"/>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35"/>
        </w:trPr>
        <w:tc>
          <w:tcPr>
            <w:tcW w:w="3540" w:type="dxa"/>
            <w:vAlign w:val="bottom"/>
          </w:tcPr>
          <w:p>
            <w:pPr>
              <w:ind w:left="140"/>
              <w:spacing w:after="0"/>
              <w:rPr>
                <w:sz w:val="20"/>
                <w:szCs w:val="20"/>
                <w:color w:val="auto"/>
              </w:rPr>
            </w:pPr>
            <w:r>
              <w:rPr>
                <w:rFonts w:ascii="Arial" w:cs="Arial" w:eastAsia="Arial" w:hAnsi="Arial"/>
                <w:sz w:val="18"/>
                <w:szCs w:val="18"/>
                <w:color w:val="auto"/>
              </w:rPr>
              <w:t>Coiled Tubing</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25,467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23,888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30,836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32"/>
        </w:trPr>
        <w:tc>
          <w:tcPr>
            <w:tcW w:w="3540" w:type="dxa"/>
            <w:vAlign w:val="bottom"/>
          </w:tcPr>
          <w:p>
            <w:pPr>
              <w:ind w:left="20"/>
              <w:spacing w:after="0"/>
              <w:rPr>
                <w:sz w:val="20"/>
                <w:szCs w:val="20"/>
                <w:color w:val="auto"/>
              </w:rPr>
            </w:pPr>
            <w:r>
              <w:rPr>
                <w:rFonts w:ascii="Arial" w:cs="Arial" w:eastAsia="Arial" w:hAnsi="Arial"/>
                <w:sz w:val="18"/>
                <w:szCs w:val="18"/>
                <w:color w:val="auto"/>
              </w:rPr>
              <w:t>Drilling and Completions</w:t>
            </w:r>
          </w:p>
        </w:tc>
        <w:tc>
          <w:tcPr>
            <w:tcW w:w="28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126,739</w:t>
            </w:r>
          </w:p>
        </w:tc>
        <w:tc>
          <w:tcPr>
            <w:tcW w:w="1020" w:type="dxa"/>
            <w:vAlign w:val="bottom"/>
          </w:tcPr>
          <w:p>
            <w:pPr>
              <w:jc w:val="right"/>
              <w:spacing w:after="0"/>
              <w:rPr>
                <w:sz w:val="20"/>
                <w:szCs w:val="20"/>
                <w:color w:val="auto"/>
              </w:rPr>
            </w:pPr>
            <w:r>
              <w:rPr>
                <w:rFonts w:ascii="Arial" w:cs="Arial" w:eastAsia="Arial" w:hAnsi="Arial"/>
                <w:sz w:val="18"/>
                <w:szCs w:val="18"/>
                <w:color w:val="auto"/>
              </w:rPr>
              <w:t>60.7 %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115,569</w:t>
            </w:r>
          </w:p>
        </w:tc>
        <w:tc>
          <w:tcPr>
            <w:tcW w:w="1040" w:type="dxa"/>
            <w:vAlign w:val="bottom"/>
          </w:tcPr>
          <w:p>
            <w:pPr>
              <w:jc w:val="right"/>
              <w:spacing w:after="0"/>
              <w:rPr>
                <w:sz w:val="20"/>
                <w:szCs w:val="20"/>
                <w:color w:val="auto"/>
              </w:rPr>
            </w:pPr>
            <w:r>
              <w:rPr>
                <w:rFonts w:ascii="Arial" w:cs="Arial" w:eastAsia="Arial" w:hAnsi="Arial"/>
                <w:sz w:val="18"/>
                <w:szCs w:val="18"/>
                <w:color w:val="auto"/>
              </w:rPr>
              <w:t>59.8 %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126,916</w:t>
            </w:r>
          </w:p>
        </w:tc>
        <w:tc>
          <w:tcPr>
            <w:tcW w:w="1020" w:type="dxa"/>
            <w:vAlign w:val="bottom"/>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485"/>
        </w:trPr>
        <w:tc>
          <w:tcPr>
            <w:tcW w:w="3540" w:type="dxa"/>
            <w:vAlign w:val="bottom"/>
          </w:tcPr>
          <w:p>
            <w:pPr>
              <w:ind w:left="140"/>
              <w:spacing w:after="0"/>
              <w:rPr>
                <w:sz w:val="20"/>
                <w:szCs w:val="20"/>
                <w:color w:val="auto"/>
              </w:rPr>
            </w:pPr>
            <w:r>
              <w:rPr>
                <w:rFonts w:ascii="Arial" w:cs="Arial" w:eastAsia="Arial" w:hAnsi="Arial"/>
                <w:sz w:val="18"/>
                <w:szCs w:val="18"/>
                <w:color w:val="auto"/>
              </w:rPr>
              <w:t>Downhole</w:t>
            </w:r>
          </w:p>
        </w:tc>
        <w:tc>
          <w:tcPr>
            <w:tcW w:w="28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50,559</w:t>
            </w:r>
          </w:p>
        </w:tc>
        <w:tc>
          <w:tcPr>
            <w:tcW w:w="102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47,668</w:t>
            </w:r>
          </w:p>
        </w:tc>
        <w:tc>
          <w:tcPr>
            <w:tcW w:w="104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47,800</w:t>
            </w:r>
          </w:p>
        </w:tc>
        <w:tc>
          <w:tcPr>
            <w:tcW w:w="102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9"/>
        </w:trPr>
        <w:tc>
          <w:tcPr>
            <w:tcW w:w="3540" w:type="dxa"/>
            <w:vAlign w:val="bottom"/>
          </w:tcPr>
          <w:p>
            <w:pPr>
              <w:ind w:left="140"/>
              <w:spacing w:after="0"/>
              <w:rPr>
                <w:sz w:val="20"/>
                <w:szCs w:val="20"/>
                <w:color w:val="auto"/>
              </w:rPr>
            </w:pPr>
            <w:r>
              <w:rPr>
                <w:rFonts w:ascii="Arial" w:cs="Arial" w:eastAsia="Arial" w:hAnsi="Arial"/>
                <w:sz w:val="18"/>
                <w:szCs w:val="18"/>
                <w:color w:val="auto"/>
              </w:rPr>
              <w:t>Production Equipment</w:t>
            </w:r>
          </w:p>
        </w:tc>
        <w:tc>
          <w:tcPr>
            <w:tcW w:w="28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18,750</w:t>
            </w:r>
          </w:p>
        </w:tc>
        <w:tc>
          <w:tcPr>
            <w:tcW w:w="1020" w:type="dxa"/>
            <w:vAlign w:val="bottom"/>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19,059</w:t>
            </w:r>
          </w:p>
        </w:tc>
        <w:tc>
          <w:tcPr>
            <w:tcW w:w="104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15,574</w:t>
            </w:r>
          </w:p>
        </w:tc>
        <w:tc>
          <w:tcPr>
            <w:tcW w:w="102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5"/>
        </w:trPr>
        <w:tc>
          <w:tcPr>
            <w:tcW w:w="3540" w:type="dxa"/>
            <w:vAlign w:val="bottom"/>
          </w:tcPr>
          <w:p>
            <w:pPr>
              <w:ind w:left="140"/>
              <w:spacing w:after="0"/>
              <w:rPr>
                <w:sz w:val="20"/>
                <w:szCs w:val="20"/>
                <w:color w:val="auto"/>
              </w:rPr>
            </w:pPr>
            <w:r>
              <w:rPr>
                <w:rFonts w:ascii="Arial" w:cs="Arial" w:eastAsia="Arial" w:hAnsi="Arial"/>
                <w:sz w:val="18"/>
                <w:szCs w:val="18"/>
                <w:color w:val="auto"/>
              </w:rPr>
              <w:t>Valve Solutions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12,789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11,069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12,087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18"/>
        </w:trPr>
        <w:tc>
          <w:tcPr>
            <w:tcW w:w="3540" w:type="dxa"/>
            <w:vAlign w:val="bottom"/>
          </w:tcPr>
          <w:p>
            <w:pPr>
              <w:ind w:left="20"/>
              <w:spacing w:after="0"/>
              <w:rPr>
                <w:sz w:val="20"/>
                <w:szCs w:val="20"/>
                <w:color w:val="auto"/>
              </w:rPr>
            </w:pPr>
            <w:r>
              <w:rPr>
                <w:rFonts w:ascii="Arial" w:cs="Arial" w:eastAsia="Arial" w:hAnsi="Arial"/>
                <w:sz w:val="18"/>
                <w:szCs w:val="18"/>
                <w:color w:val="auto"/>
              </w:rPr>
              <w:t>Artificial Lift and Downhole</w:t>
            </w:r>
          </w:p>
        </w:tc>
        <w:tc>
          <w:tcPr>
            <w:tcW w:w="28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82,098</w:t>
            </w:r>
          </w:p>
        </w:tc>
        <w:tc>
          <w:tcPr>
            <w:tcW w:w="1020" w:type="dxa"/>
            <w:vAlign w:val="bottom"/>
          </w:tcPr>
          <w:p>
            <w:pPr>
              <w:jc w:val="right"/>
              <w:spacing w:after="0"/>
              <w:rPr>
                <w:sz w:val="20"/>
                <w:szCs w:val="20"/>
                <w:color w:val="auto"/>
              </w:rPr>
            </w:pPr>
            <w:r>
              <w:rPr>
                <w:rFonts w:ascii="Arial" w:cs="Arial" w:eastAsia="Arial" w:hAnsi="Arial"/>
                <w:sz w:val="18"/>
                <w:szCs w:val="18"/>
                <w:color w:val="auto"/>
              </w:rPr>
              <w:t>39.3 %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77,796</w:t>
            </w:r>
          </w:p>
        </w:tc>
        <w:tc>
          <w:tcPr>
            <w:tcW w:w="1040" w:type="dxa"/>
            <w:vAlign w:val="bottom"/>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75,461</w:t>
            </w:r>
          </w:p>
        </w:tc>
        <w:tc>
          <w:tcPr>
            <w:tcW w:w="1020" w:type="dxa"/>
            <w:vAlign w:val="bottom"/>
          </w:tcPr>
          <w:p>
            <w:pPr>
              <w:jc w:val="right"/>
              <w:spacing w:after="0"/>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r>
        <w:trPr>
          <w:trHeight w:val="235"/>
        </w:trPr>
        <w:tc>
          <w:tcPr>
            <w:tcW w:w="3540" w:type="dxa"/>
            <w:vAlign w:val="bottom"/>
          </w:tcPr>
          <w:p>
            <w:pPr>
              <w:ind w:left="140"/>
              <w:spacing w:after="0"/>
              <w:rPr>
                <w:sz w:val="20"/>
                <w:szCs w:val="20"/>
                <w:color w:val="auto"/>
              </w:rPr>
            </w:pPr>
            <w:r>
              <w:rPr>
                <w:rFonts w:ascii="Arial" w:cs="Arial" w:eastAsia="Arial" w:hAnsi="Arial"/>
                <w:sz w:val="18"/>
                <w:szCs w:val="18"/>
                <w:color w:val="auto"/>
              </w:rPr>
              <w:t>Eliminations</w:t>
            </w:r>
          </w:p>
        </w:tc>
        <w:tc>
          <w:tcPr>
            <w:tcW w:w="28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(137)</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(86)</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(177)</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8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208,700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193,279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202,200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200"/>
      </w:cols>
      <w:pgMar w:left="340" w:top="9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2026-05-01T08:40:48Z</dcterms:created>
  <dcterms:modified xsi:type="dcterms:W3CDTF">2026-05-01T08:40:48Z</dcterms:modified>
</cp:coreProperties>
</file>