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UNITED STATES SECURITIES AND EXCHANGE COMMISSION</w:t>
      </w:r>
    </w:p>
    <w:p>
      <w:pPr>
        <w:spacing w:after="0" w:line="4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Exchange Act of 1934</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(Amendment No. )</w:t>
      </w:r>
    </w:p>
    <w:p>
      <w:pPr>
        <w:spacing w:after="0" w:line="14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6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7" w:lineRule="exact"/>
        <w:rPr>
          <w:sz w:val="24"/>
          <w:szCs w:val="24"/>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9" w:lineRule="exact"/>
        <w:rPr>
          <w:rFonts w:ascii="MS PGothic" w:cs="MS PGothic" w:eastAsia="MS PGothic" w:hAnsi="MS PGothic"/>
          <w:sz w:val="17"/>
          <w:szCs w:val="17"/>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3"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3" w:lineRule="exact"/>
        <w:rPr>
          <w:rFonts w:ascii="MS PGothic" w:cs="MS PGothic" w:eastAsia="MS PGothic" w:hAnsi="MS PGothic"/>
          <w:sz w:val="17"/>
          <w:szCs w:val="17"/>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9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FORUM ENERGY TECHNOLOGIES,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7"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04" w:lineRule="exact"/>
        <w:rPr>
          <w:sz w:val="24"/>
          <w:szCs w:val="24"/>
          <w:color w:val="auto"/>
        </w:rPr>
      </w:pPr>
    </w:p>
    <w:p>
      <w:pPr>
        <w:ind w:left="380" w:hanging="336"/>
        <w:spacing w:after="0"/>
        <w:tabs>
          <w:tab w:leader="none" w:pos="3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17" w:lineRule="exact"/>
        <w:rPr>
          <w:rFonts w:ascii="MS PGothic" w:cs="MS PGothic" w:eastAsia="MS PGothic" w:hAnsi="MS PGothic"/>
          <w:sz w:val="17"/>
          <w:szCs w:val="17"/>
          <w:color w:val="auto"/>
        </w:rPr>
      </w:pPr>
    </w:p>
    <w:p>
      <w:pPr>
        <w:ind w:left="380" w:hanging="336"/>
        <w:spacing w:after="0"/>
        <w:tabs>
          <w:tab w:leader="none" w:pos="3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10139"/>
          </w:cols>
          <w:pgMar w:left="320" w:top="8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1706245</wp:posOffset>
            </wp:positionH>
            <wp:positionV relativeFrom="page">
              <wp:posOffset>2352040</wp:posOffset>
            </wp:positionV>
            <wp:extent cx="4144645" cy="197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44645" cy="197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2024 PROXY STATEMENT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ANNUAL MEETING OF STOCKHOLDERS</w:t>
      </w:r>
    </w:p>
    <w:p>
      <w:pPr>
        <w:sectPr>
          <w:pgSz w:w="11900" w:h="16838" w:orient="portrait"/>
          <w:cols w:equalWidth="0" w:num="1">
            <w:col w:w="9019"/>
          </w:cols>
          <w:pgMar w:left="1440" w:top="1440" w:right="1440" w:bottom="1440" w:gutter="0" w:footer="0" w:header="0"/>
        </w:sectPr>
      </w:pPr>
    </w:p>
    <w:bookmarkStart w:id="2" w:name="page3"/>
    <w:bookmarkEnd w:id="2"/>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487045</wp:posOffset>
            </wp:positionV>
            <wp:extent cx="977900" cy="464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977900" cy="4641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LETTER FROM THE CHAIRMAN OF THE BOARD TO OUR STOCKHOLDERS</w:t>
      </w:r>
    </w:p>
    <w:p>
      <w:pPr>
        <w:spacing w:after="0" w:line="133" w:lineRule="exact"/>
        <w:rPr>
          <w:sz w:val="20"/>
          <w:szCs w:val="20"/>
          <w:color w:val="auto"/>
        </w:rPr>
      </w:pPr>
    </w:p>
    <w:p>
      <w:pPr>
        <w:ind w:left="20"/>
        <w:spacing w:after="0"/>
        <w:tabs>
          <w:tab w:leader="none" w:pos="10100" w:val="left"/>
        </w:tabs>
        <w:rPr>
          <w:sz w:val="20"/>
          <w:szCs w:val="20"/>
          <w:color w:val="auto"/>
        </w:rPr>
      </w:pPr>
      <w:r>
        <w:rPr>
          <w:rFonts w:ascii="Times New Roman" w:cs="Times New Roman" w:eastAsia="Times New Roman" w:hAnsi="Times New Roman"/>
          <w:sz w:val="17"/>
          <w:szCs w:val="17"/>
          <w:color w:val="auto"/>
        </w:rPr>
        <w:t>Dear Fellow Stockholders,</w:t>
      </w:r>
      <w:r>
        <w:rPr>
          <w:sz w:val="20"/>
          <w:szCs w:val="20"/>
          <w:color w:val="auto"/>
        </w:rPr>
        <w:tab/>
      </w:r>
      <w:r>
        <w:rPr>
          <w:rFonts w:ascii="Times New Roman" w:cs="Times New Roman" w:eastAsia="Times New Roman" w:hAnsi="Times New Roman"/>
          <w:sz w:val="17"/>
          <w:szCs w:val="17"/>
          <w:color w:val="auto"/>
        </w:rPr>
        <w:t>March 27, 2024</w:t>
      </w:r>
    </w:p>
    <w:p>
      <w:pPr>
        <w:spacing w:after="0" w:line="2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behalf of your board of directors and management, I am pleased to invite you to attend the annual meeting of stockholders of Forum Energy Technologies, Inc. (“FET” or the “Company”), which will be held at 8:00 a.m., Central Daylight Time, on May 10, 2024, at our principal offices located at 10344 Sam Houston Park Drive, Suite 300, Houston, Texas 77064.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Transformational Year </w:t>
      </w:r>
      <w:r>
        <w:rPr>
          <w:rFonts w:ascii="Times New Roman" w:cs="Times New Roman" w:eastAsia="Times New Roman" w:hAnsi="Times New Roman"/>
          <w:sz w:val="22"/>
          <w:szCs w:val="22"/>
          <w:b w:val="1"/>
          <w:bCs w:val="1"/>
          <w:color w:val="auto"/>
          <w:vertAlign w:val="superscript"/>
        </w:rPr>
        <w:t>1</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2023, FET had some major accomplishments that will set the Company up well for 2024 and the future. First, in January, we significantly strengthened our balance sheet by reducing our long-term debt by 48% through the conversion of $122.8 million of the Company’s 9.00% Convertible Senior Secured Notes into FET common shares. In addition, in the fourth quarter, we announced FET’s acquisition of Variperm Energy Services. We expect this highly accretive acquisition to position FET to significantly increase our EBITDA and EBITDA margins.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After market growth in 2022, expectations entering 2023 were for a continued strengthening market and increasing drilling activity. As it turned out, oil and gas prices were volatile throughout 2023, and drilling and completion activity did not increase as industry participants expected. Despite these unfavorable conditions, FET was able to outpace the market, growing revenue and EBITDA by 6% and 14%, respectively. This growth in the face of adverse market conditions reflects the benefit of having a portfolio of high technology products that our global customers need to make their operations safer, and more efficient and profitable.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Succession Planning and Diversity Focus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board of directors is continuing to focus on developing the next generation of executives. Recently, Ms. Katherine Keller, Senior Vice President and Chief Accounting Officer; and Messrs. Steven Pounds, Senior Vice President – Operations; and Mark Brookes, Senior Vice President – Operations, were appointed to the executive management team. These promotions reflect our focus on achieving a diverse workforce throughout our organization.</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Mr. John Schmitz retired from our board of directors in March 2023 after more than ten years of service. We thank Mr. Schmitz for his highly valuable service. In addition, Dr. Emily Reichert retired from our board of directors in November 2023 in connection with her appointment to serve as Chief Executive Officer of the Massachusetts Clean Energy Center, a state economic development agency dedicated to accelerating the growth of the clean energy sector. We thank Dr. Reichert for her service.</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promised in prior years, we continue to push for diversity on our board of directors. In December 2023, Ms. Leslie Beyer was appointed to serve as a member of our board of directors. Ms. Beyer is the former Chief Executive Officer of the Energy Workforce and Technology Council, the national trade association for the global energy technology and services sector. In addition to her vast knowledge of our industry, Ms. Beyer has led collaborative efforts across the energy industry and received numerous awards for her leadership. As additional board openings develop, our board of directors is committed to identifying and considering diverse candidates that meet our qualifications.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Finally, effective January 1, 2024, I transitioned to serve as non-executive Chairman of the Board. My transition reflects the significant confidence I have in our executive management team. The FET executive management team has over 150 years of service in the energy industry and is well equipped to lead our Company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347345</wp:posOffset>
            </wp:positionV>
            <wp:extent cx="1657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00" w:hanging="96"/>
        <w:spacing w:after="0"/>
        <w:tabs>
          <w:tab w:leader="none" w:pos="1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Appendix A for a reconciliation of GAAP to non-GAAP financial measures.</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Looking Ahead</w:t>
      </w:r>
    </w:p>
    <w:p>
      <w:pPr>
        <w:spacing w:after="0" w:line="15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Our board of directors and executive management have prioritized generating free cash flow and reducing leverage for 2024. We are also emphasizing continued technology development and leveraging our global footprint to further grow our international and offshore businesses.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continued engagement with FET.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1127125" cy="35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712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Christopher Gaut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Chairman of the Board</w:t>
      </w:r>
    </w:p>
    <w:p>
      <w:pPr>
        <w:sectPr>
          <w:pgSz w:w="11900" w:h="16838" w:orient="portrait"/>
          <w:cols w:equalWidth="0" w:num="1">
            <w:col w:w="11240"/>
          </w:cols>
          <w:pgMar w:left="320" w:top="90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993775</wp:posOffset>
            </wp:positionH>
            <wp:positionV relativeFrom="page">
              <wp:posOffset>636270</wp:posOffset>
            </wp:positionV>
            <wp:extent cx="5570220" cy="286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022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i w:val="1"/>
          <w:iCs w:val="1"/>
          <w:color w:val="auto"/>
        </w:rPr>
        <w:t>FET ENERGY TRANSITION MARKETS AND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191770</wp:posOffset>
            </wp:positionV>
            <wp:extent cx="5006340" cy="254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25444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i w:val="1"/>
          <w:iCs w:val="1"/>
          <w:color w:val="auto"/>
        </w:rPr>
        <w:t>FET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191770</wp:posOffset>
            </wp:positionV>
            <wp:extent cx="4716145" cy="266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6145" cy="26689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3289300</wp:posOffset>
            </wp:positionH>
            <wp:positionV relativeFrom="page">
              <wp:posOffset>487045</wp:posOffset>
            </wp:positionV>
            <wp:extent cx="977900" cy="513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77900" cy="51371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FORUM ENERGY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NOTICE OF 2024 ANNUAL MEETING OF STOCKHOLDERS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To Be Held on May 10, 2024</w:t>
      </w:r>
    </w:p>
    <w:p>
      <w:pPr>
        <w:spacing w:after="0" w:line="152" w:lineRule="exact"/>
        <w:rPr>
          <w:sz w:val="20"/>
          <w:szCs w:val="20"/>
          <w:color w:val="auto"/>
        </w:rPr>
      </w:pPr>
    </w:p>
    <w:p>
      <w:pPr>
        <w:jc w:val="both"/>
        <w:ind w:right="20" w:firstLine="627"/>
        <w:spacing w:after="0" w:line="295" w:lineRule="auto"/>
        <w:rPr>
          <w:sz w:val="20"/>
          <w:szCs w:val="20"/>
          <w:color w:val="auto"/>
        </w:rPr>
      </w:pPr>
      <w:r>
        <w:rPr>
          <w:rFonts w:ascii="Times New Roman" w:cs="Times New Roman" w:eastAsia="Times New Roman" w:hAnsi="Times New Roman"/>
          <w:sz w:val="17"/>
          <w:szCs w:val="17"/>
          <w:color w:val="auto"/>
        </w:rPr>
        <w:t>The annual meeting of stockholders of Forum Energy Technologies, Inc. will be held at 8:00 a.m., Central Daylight Time, on May 10, 2024, at our principal offices located at 10344 Sam Houston Park Drive, Suite 300, Houston, Texas 77064 for the following purposes: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080" w:type="dxa"/>
            <w:vAlign w:val="bottom"/>
            <w:tcBorders>
              <w:top w:val="single" w:sz="8" w:color="auto"/>
              <w:left w:val="single" w:sz="8" w:color="auto"/>
              <w:right w:val="single" w:sz="8" w:color="auto"/>
            </w:tcBorders>
          </w:tcPr>
          <w:p>
            <w:pPr>
              <w:spacing w:after="0"/>
              <w:rPr>
                <w:sz w:val="20"/>
                <w:szCs w:val="20"/>
                <w:color w:val="auto"/>
              </w:rPr>
            </w:pPr>
          </w:p>
        </w:tc>
        <w:tc>
          <w:tcPr>
            <w:tcW w:w="8100" w:type="dxa"/>
            <w:vAlign w:val="bottom"/>
            <w:tcBorders>
              <w:top w:val="single" w:sz="8" w:color="auto"/>
              <w:right w:val="single" w:sz="8" w:color="auto"/>
            </w:tcBorders>
          </w:tcPr>
          <w:p>
            <w:pPr>
              <w:ind w:left="35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rPr>
              <w:t>Board</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81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Recommendation:</w:t>
            </w: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Proposal 1</w:t>
            </w:r>
          </w:p>
        </w:tc>
        <w:tc>
          <w:tcPr>
            <w:tcW w:w="8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Election of the two persons named in this proxy statement as directors for terms of three years.</w:t>
            </w:r>
          </w:p>
        </w:tc>
        <w:tc>
          <w:tcPr>
            <w:tcW w:w="2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FOR ALL NOMINEES</w:t>
            </w:r>
          </w:p>
        </w:tc>
        <w:tc>
          <w:tcPr>
            <w:tcW w:w="0" w:type="dxa"/>
            <w:vAlign w:val="bottom"/>
          </w:tcPr>
          <w:p>
            <w:pPr>
              <w:spacing w:after="0"/>
              <w:rPr>
                <w:sz w:val="1"/>
                <w:szCs w:val="1"/>
                <w:color w:val="auto"/>
              </w:rPr>
            </w:pPr>
          </w:p>
        </w:tc>
      </w:tr>
      <w:tr>
        <w:trPr>
          <w:trHeight w:val="112"/>
        </w:trPr>
        <w:tc>
          <w:tcPr>
            <w:tcW w:w="1080" w:type="dxa"/>
            <w:vAlign w:val="bottom"/>
            <w:tcBorders>
              <w:left w:val="single" w:sz="8" w:color="auto"/>
              <w:right w:val="single" w:sz="8" w:color="auto"/>
            </w:tcBorders>
          </w:tcPr>
          <w:p>
            <w:pPr>
              <w:spacing w:after="0"/>
              <w:rPr>
                <w:sz w:val="9"/>
                <w:szCs w:val="9"/>
                <w:color w:val="auto"/>
              </w:rPr>
            </w:pPr>
          </w:p>
        </w:tc>
        <w:tc>
          <w:tcPr>
            <w:tcW w:w="810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Borders>
              <w:left w:val="single" w:sz="8" w:color="auto"/>
              <w:bottom w:val="single" w:sz="8" w:color="auto"/>
              <w:right w:val="single" w:sz="8" w:color="auto"/>
            </w:tcBorders>
          </w:tcPr>
          <w:p>
            <w:pPr>
              <w:spacing w:after="0"/>
              <w:rPr>
                <w:sz w:val="11"/>
                <w:szCs w:val="11"/>
                <w:color w:val="auto"/>
              </w:rPr>
            </w:pPr>
          </w:p>
        </w:tc>
        <w:tc>
          <w:tcPr>
            <w:tcW w:w="81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Proposal 2</w:t>
            </w:r>
          </w:p>
        </w:tc>
        <w:tc>
          <w:tcPr>
            <w:tcW w:w="8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Approval, on a non-binding, advisory basis, of the compensation of our named executive officers.</w:t>
            </w:r>
          </w:p>
        </w:tc>
        <w:tc>
          <w:tcPr>
            <w:tcW w:w="2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12"/>
        </w:trPr>
        <w:tc>
          <w:tcPr>
            <w:tcW w:w="1080" w:type="dxa"/>
            <w:vAlign w:val="bottom"/>
            <w:tcBorders>
              <w:left w:val="single" w:sz="8" w:color="auto"/>
              <w:right w:val="single" w:sz="8" w:color="auto"/>
            </w:tcBorders>
          </w:tcPr>
          <w:p>
            <w:pPr>
              <w:spacing w:after="0"/>
              <w:rPr>
                <w:sz w:val="9"/>
                <w:szCs w:val="9"/>
                <w:color w:val="auto"/>
              </w:rPr>
            </w:pPr>
          </w:p>
        </w:tc>
        <w:tc>
          <w:tcPr>
            <w:tcW w:w="810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Borders>
              <w:left w:val="single" w:sz="8" w:color="auto"/>
              <w:bottom w:val="single" w:sz="8" w:color="auto"/>
              <w:right w:val="single" w:sz="8" w:color="auto"/>
            </w:tcBorders>
          </w:tcPr>
          <w:p>
            <w:pPr>
              <w:spacing w:after="0"/>
              <w:rPr>
                <w:sz w:val="11"/>
                <w:szCs w:val="11"/>
                <w:color w:val="auto"/>
              </w:rPr>
            </w:pPr>
          </w:p>
        </w:tc>
        <w:tc>
          <w:tcPr>
            <w:tcW w:w="81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Proposal 3</w:t>
            </w:r>
          </w:p>
        </w:tc>
        <w:tc>
          <w:tcPr>
            <w:tcW w:w="8100" w:type="dxa"/>
            <w:vAlign w:val="bottom"/>
            <w:tcBorders>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7"/>
                <w:szCs w:val="17"/>
                <w:color w:val="auto"/>
              </w:rPr>
              <w:t>Approval of an amendment to our Second Amended and Restated 2016 Stock and Incentive Plan to increase the</w:t>
            </w:r>
          </w:p>
        </w:tc>
        <w:tc>
          <w:tcPr>
            <w:tcW w:w="2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43"/>
        </w:trPr>
        <w:tc>
          <w:tcPr>
            <w:tcW w:w="1080" w:type="dxa"/>
            <w:vAlign w:val="bottom"/>
            <w:tcBorders>
              <w:left w:val="single" w:sz="8" w:color="auto"/>
              <w:right w:val="single" w:sz="8" w:color="auto"/>
            </w:tcBorders>
            <w:vMerge w:val="continue"/>
          </w:tcPr>
          <w:p>
            <w:pPr>
              <w:spacing w:after="0"/>
              <w:rPr>
                <w:sz w:val="12"/>
                <w:szCs w:val="12"/>
                <w:color w:val="auto"/>
              </w:rPr>
            </w:pPr>
          </w:p>
        </w:tc>
        <w:tc>
          <w:tcPr>
            <w:tcW w:w="8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shares available for issuance thereunder.</w:t>
            </w:r>
          </w:p>
        </w:tc>
        <w:tc>
          <w:tcPr>
            <w:tcW w:w="2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8100" w:type="dxa"/>
            <w:vAlign w:val="bottom"/>
            <w:tcBorders>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1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Proposal 4</w:t>
            </w:r>
          </w:p>
        </w:tc>
        <w:tc>
          <w:tcPr>
            <w:tcW w:w="8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Ratification of the appointment of Deloitte &amp; Touche LLP as our independent registered public accounting firm for</w:t>
            </w:r>
          </w:p>
        </w:tc>
        <w:tc>
          <w:tcPr>
            <w:tcW w:w="2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right w:val="single" w:sz="8" w:color="auto"/>
            </w:tcBorders>
          </w:tcPr>
          <w:p>
            <w:pPr>
              <w:spacing w:after="0"/>
              <w:rPr>
                <w:sz w:val="11"/>
                <w:szCs w:val="11"/>
                <w:color w:val="auto"/>
              </w:rPr>
            </w:pPr>
          </w:p>
        </w:tc>
        <w:tc>
          <w:tcPr>
            <w:tcW w:w="8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080" w:type="dxa"/>
            <w:vAlign w:val="bottom"/>
            <w:tcBorders>
              <w:left w:val="single" w:sz="8" w:color="auto"/>
              <w:right w:val="single" w:sz="8" w:color="auto"/>
            </w:tcBorders>
          </w:tcPr>
          <w:p>
            <w:pPr>
              <w:spacing w:after="0"/>
              <w:rPr>
                <w:sz w:val="8"/>
                <w:szCs w:val="8"/>
                <w:color w:val="auto"/>
              </w:rPr>
            </w:pPr>
          </w:p>
        </w:tc>
        <w:tc>
          <w:tcPr>
            <w:tcW w:w="810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81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right="20" w:firstLine="627"/>
        <w:spacing w:after="0" w:line="295" w:lineRule="auto"/>
        <w:rPr>
          <w:sz w:val="20"/>
          <w:szCs w:val="20"/>
          <w:color w:val="auto"/>
        </w:rPr>
      </w:pPr>
      <w:r>
        <w:rPr>
          <w:rFonts w:ascii="Times New Roman" w:cs="Times New Roman" w:eastAsia="Times New Roman" w:hAnsi="Times New Roman"/>
          <w:sz w:val="17"/>
          <w:szCs w:val="17"/>
          <w:color w:val="auto"/>
        </w:rPr>
        <w:t>FET’s board of directors has established March 15, 2024, as the record date for the determination of stockholders entitled to notice of and to vote at the annual meeting.</w:t>
      </w:r>
    </w:p>
    <w:p>
      <w:pPr>
        <w:spacing w:after="0" w:line="94" w:lineRule="exact"/>
        <w:rPr>
          <w:sz w:val="20"/>
          <w:szCs w:val="20"/>
          <w:color w:val="auto"/>
        </w:rPr>
      </w:pPr>
    </w:p>
    <w:p>
      <w:pPr>
        <w:jc w:val="both"/>
        <w:ind w:right="20" w:firstLine="627"/>
        <w:spacing w:after="0" w:line="261" w:lineRule="auto"/>
        <w:rPr>
          <w:sz w:val="20"/>
          <w:szCs w:val="20"/>
          <w:color w:val="auto"/>
        </w:rPr>
      </w:pPr>
      <w:r>
        <w:rPr>
          <w:rFonts w:ascii="Times New Roman" w:cs="Times New Roman" w:eastAsia="Times New Roman" w:hAnsi="Times New Roman"/>
          <w:sz w:val="17"/>
          <w:szCs w:val="17"/>
          <w:color w:val="auto"/>
        </w:rPr>
        <w:t>We are utilizing the U.S. Securities and Exchange Commission (the “SEC”) rules that allow issuers to furnish proxy materials to their stockholders over the Internet. We believe that these rules allow us to provide our stockholders with the information they need, while lowering the costs of delivery and protecting the environment. On or about the date hereof, we are mailing to our stockholders proxy materials, including this proxy statement, our annual report on Form 10-K for the year ended December 31, 2023 (the “2023 10-K”) and a proxy card, or a Notice of Internet Availability of Proxy Materials containing instructions on how to access our 2024 proxy statement and our 2023 10-K. The notice provides instructions on how you can request a paper copy of these documents, if you desire. Stockholders are urged, whether or not they expect to be present at the meeting, to vote their shares as promptly as possible by following the instructions in the Notice of Internet Availability of Proxy Materials or voting instruction form, as applicable. Any person giving a proxy has the power to revoke it at any time, and stockholders present at the meeting may withdraw their proxies and vote in person. If you attend the meeting and desire to vote in person, you may do so even though you have previously submitted your proxy.</w:t>
      </w:r>
    </w:p>
    <w:p>
      <w:pPr>
        <w:spacing w:after="0" w:line="1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161290</wp:posOffset>
            </wp:positionV>
            <wp:extent cx="1541780" cy="347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1780"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John C. Ivascu</w:t>
      </w:r>
    </w:p>
    <w:p>
      <w:pPr>
        <w:spacing w:after="0" w:line="3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 Chief Compliance</w:t>
      </w:r>
    </w:p>
    <w:p>
      <w:pPr>
        <w:spacing w:after="0" w:line="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i w:val="1"/>
          <w:iCs w:val="1"/>
          <w:color w:val="auto"/>
        </w:rPr>
        <w:t>Officer and Corporate Secretary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10344 Sam Houston Park Drive, Suite 300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77064</w:t>
      </w:r>
    </w:p>
    <w:p>
      <w:pPr>
        <w:sectPr>
          <w:pgSz w:w="11900" w:h="16838" w:orient="portrait"/>
          <w:cols w:equalWidth="0" w:num="1">
            <w:col w:w="11260"/>
          </w:cols>
          <w:pgMar w:left="320" w:top="144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IMPORTANT INFORMATION REGARDING THE ANNUAL MEETING OF STOCKHOLDERS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Registration will begin at 7:30 a.m. Central Daylight Time. Please note that space limitations make it necessary to limit attendance at the meeting to stockholders. Please bring photo identification, such as a driver’s license or passport, and if you hold your shares in brokerage accounts, a copy of a brokerage statement reflecting stock ownership as of the record date. Please keep in mind that cameras, recording devices and other electronic devices are not permitted at the meeting. You are invited to attend the meeting in-person.</w:t>
      </w:r>
    </w:p>
    <w:p>
      <w:pPr>
        <w:sectPr>
          <w:pgSz w:w="11900" w:h="16838" w:orient="portrait"/>
          <w:cols w:equalWidth="0" w:num="1">
            <w:col w:w="11240"/>
          </w:cols>
          <w:pgMar w:left="320" w:top="137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4"/>
          </w:tcPr>
          <w:p>
            <w:pPr>
              <w:jc w:val="center"/>
              <w:ind w:left="230"/>
              <w:spacing w:after="0"/>
              <w:rPr>
                <w:sz w:val="20"/>
                <w:szCs w:val="20"/>
                <w:color w:val="auto"/>
              </w:rPr>
            </w:pPr>
            <w:r>
              <w:rPr>
                <w:rFonts w:ascii="Times New Roman" w:cs="Times New Roman" w:eastAsia="Times New Roman" w:hAnsi="Times New Roman"/>
                <w:sz w:val="21"/>
                <w:szCs w:val="21"/>
                <w:b w:val="1"/>
                <w:bCs w:val="1"/>
                <w:color w:val="auto"/>
                <w:w w:val="97"/>
              </w:rPr>
              <w:t>Page</w:t>
            </w:r>
          </w:p>
        </w:tc>
      </w:tr>
      <w:tr>
        <w:trPr>
          <w:trHeight w:val="395"/>
        </w:trPr>
        <w:tc>
          <w:tcPr>
            <w:tcW w:w="5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QUORUM, VOTE REQUIRED AND REVOCATION OF PROXIES</w:t>
            </w:r>
          </w:p>
        </w:tc>
        <w:tc>
          <w:tcPr>
            <w:tcW w:w="456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3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COST AND METHOD OF PROXY SOLICITATION</w:t>
            </w:r>
          </w:p>
        </w:tc>
        <w:tc>
          <w:tcPr>
            <w:tcW w:w="61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1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SECURITY OWNERSHIP</w:t>
            </w:r>
          </w:p>
        </w:tc>
        <w:tc>
          <w:tcPr>
            <w:tcW w:w="804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3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PROPOSAL 1: ELECTION OF DIRECTORS</w:t>
            </w:r>
          </w:p>
        </w:tc>
        <w:tc>
          <w:tcPr>
            <w:tcW w:w="672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2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DIRECTOR QUALIFICATIONS</w:t>
            </w:r>
          </w:p>
        </w:tc>
        <w:tc>
          <w:tcPr>
            <w:tcW w:w="760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OUR DIRECTORS</w:t>
            </w:r>
          </w:p>
        </w:tc>
        <w:tc>
          <w:tcPr>
            <w:tcW w:w="858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DIRECTOR COMPENSATION</w:t>
            </w:r>
          </w:p>
        </w:tc>
        <w:tc>
          <w:tcPr>
            <w:tcW w:w="770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2"/>
              </w:rPr>
              <w:t>14</w:t>
            </w:r>
          </w:p>
        </w:tc>
        <w:tc>
          <w:tcPr>
            <w:tcW w:w="120" w:type="dxa"/>
            <w:vAlign w:val="bottom"/>
          </w:tcPr>
          <w:p>
            <w:pPr>
              <w:spacing w:after="0"/>
              <w:rPr>
                <w:sz w:val="17"/>
                <w:szCs w:val="17"/>
                <w:color w:val="auto"/>
              </w:rPr>
            </w:pPr>
          </w:p>
        </w:tc>
      </w:tr>
      <w:tr>
        <w:trPr>
          <w:trHeight w:val="202"/>
        </w:trPr>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CORPORATE GOVERNANCE</w:t>
            </w:r>
          </w:p>
        </w:tc>
        <w:tc>
          <w:tcPr>
            <w:tcW w:w="770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2"/>
              </w:rPr>
              <w:t>16</w:t>
            </w:r>
          </w:p>
        </w:tc>
        <w:tc>
          <w:tcPr>
            <w:tcW w:w="120" w:type="dxa"/>
            <w:vAlign w:val="bottom"/>
          </w:tcPr>
          <w:p>
            <w:pPr>
              <w:spacing w:after="0"/>
              <w:rPr>
                <w:sz w:val="17"/>
                <w:szCs w:val="17"/>
                <w:color w:val="auto"/>
              </w:rPr>
            </w:pPr>
          </w:p>
        </w:tc>
      </w:tr>
      <w:tr>
        <w:trPr>
          <w:trHeight w:val="202"/>
        </w:trPr>
        <w:tc>
          <w:tcPr>
            <w:tcW w:w="5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CONFLICTS OF INTEREST AND RELATED PERSON TRANSACTIONS</w:t>
            </w:r>
          </w:p>
        </w:tc>
        <w:tc>
          <w:tcPr>
            <w:tcW w:w="456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2"/>
              </w:rPr>
              <w:t>25</w:t>
            </w:r>
          </w:p>
        </w:tc>
        <w:tc>
          <w:tcPr>
            <w:tcW w:w="120" w:type="dxa"/>
            <w:vAlign w:val="bottom"/>
          </w:tcPr>
          <w:p>
            <w:pPr>
              <w:spacing w:after="0"/>
              <w:rPr>
                <w:sz w:val="17"/>
                <w:szCs w:val="17"/>
                <w:color w:val="auto"/>
              </w:rPr>
            </w:pPr>
          </w:p>
        </w:tc>
      </w:tr>
      <w:tr>
        <w:trPr>
          <w:trHeight w:val="202"/>
        </w:trPr>
        <w:tc>
          <w:tcPr>
            <w:tcW w:w="6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PROPOSAL 2: ADVISORY RESOLUTION TO APPROVE EXECUTIVE COMPENSATION</w:t>
            </w:r>
          </w:p>
        </w:tc>
        <w:tc>
          <w:tcPr>
            <w:tcW w:w="330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2"/>
              </w:rPr>
              <w:t>27</w:t>
            </w:r>
          </w:p>
        </w:tc>
        <w:tc>
          <w:tcPr>
            <w:tcW w:w="120" w:type="dxa"/>
            <w:vAlign w:val="bottom"/>
          </w:tcPr>
          <w:p>
            <w:pPr>
              <w:spacing w:after="0"/>
              <w:rPr>
                <w:sz w:val="17"/>
                <w:szCs w:val="17"/>
                <w:color w:val="auto"/>
              </w:rPr>
            </w:pPr>
          </w:p>
        </w:tc>
      </w:tr>
      <w:tr>
        <w:trPr>
          <w:trHeight w:val="202"/>
        </w:trPr>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620" w:type="dxa"/>
            <w:vAlign w:val="bottom"/>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r>
      <w:tr>
        <w:trPr>
          <w:trHeight w:val="20"/>
        </w:trPr>
        <w:tc>
          <w:tcPr>
            <w:tcW w:w="23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PROPOSAL 3: APPROVAL OF AMENDMENT TO SECOND AMENDED AND RESTATED 2016 STOCK AND INCENTIVE PLAN</w:t>
            </w:r>
          </w:p>
        </w:tc>
        <w:tc>
          <w:tcPr>
            <w:tcW w:w="620" w:type="dxa"/>
            <w:vAlign w:val="bottom"/>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44</w:t>
            </w:r>
          </w:p>
        </w:tc>
        <w:tc>
          <w:tcPr>
            <w:tcW w:w="120" w:type="dxa"/>
            <w:vAlign w:val="bottom"/>
          </w:tcPr>
          <w:p>
            <w:pPr>
              <w:spacing w:after="0"/>
              <w:rPr>
                <w:sz w:val="17"/>
                <w:szCs w:val="17"/>
                <w:color w:val="auto"/>
              </w:rPr>
            </w:pPr>
          </w:p>
        </w:tc>
      </w:tr>
      <w:tr>
        <w:trPr>
          <w:trHeight w:val="202"/>
        </w:trPr>
        <w:tc>
          <w:tcPr>
            <w:tcW w:w="8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PROPOSAL 4: RATIFICATION OF APPOINTMENT OF INDEPENDENT REGISTERED PUBLIC ACCOUNTING FIRM</w:t>
            </w:r>
          </w:p>
        </w:tc>
        <w:tc>
          <w:tcPr>
            <w:tcW w:w="8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2"/>
              </w:rPr>
              <w:t>52</w:t>
            </w:r>
          </w:p>
        </w:tc>
        <w:tc>
          <w:tcPr>
            <w:tcW w:w="120" w:type="dxa"/>
            <w:vAlign w:val="bottom"/>
          </w:tcPr>
          <w:p>
            <w:pPr>
              <w:spacing w:after="0"/>
              <w:rPr>
                <w:sz w:val="17"/>
                <w:szCs w:val="17"/>
                <w:color w:val="auto"/>
              </w:rPr>
            </w:pPr>
          </w:p>
        </w:tc>
      </w:tr>
      <w:tr>
        <w:trPr>
          <w:trHeight w:val="202"/>
        </w:trPr>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AUDIT COMMITTEE REPORT</w:t>
            </w:r>
          </w:p>
        </w:tc>
        <w:tc>
          <w:tcPr>
            <w:tcW w:w="620" w:type="dxa"/>
            <w:vAlign w:val="bottom"/>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53</w:t>
            </w:r>
          </w:p>
        </w:tc>
        <w:tc>
          <w:tcPr>
            <w:tcW w:w="120" w:type="dxa"/>
            <w:vAlign w:val="bottom"/>
          </w:tcPr>
          <w:p>
            <w:pPr>
              <w:spacing w:after="0"/>
              <w:rPr>
                <w:sz w:val="17"/>
                <w:szCs w:val="17"/>
                <w:color w:val="auto"/>
              </w:rPr>
            </w:pPr>
          </w:p>
        </w:tc>
      </w:tr>
      <w:tr>
        <w:trPr>
          <w:trHeight w:val="20"/>
        </w:trPr>
        <w:tc>
          <w:tcPr>
            <w:tcW w:w="2320" w:type="dxa"/>
            <w:vAlign w:val="bottom"/>
            <w:gridSpan w:val="4"/>
            <w:shd w:val="clear" w:color="auto" w:fill="0000FF"/>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ADDITIONAL INFORMATION</w:t>
            </w:r>
          </w:p>
        </w:tc>
        <w:tc>
          <w:tcPr>
            <w:tcW w:w="620" w:type="dxa"/>
            <w:vAlign w:val="bottom"/>
            <w:gridSpan w:val="3"/>
          </w:tcPr>
          <w:p>
            <w:pPr>
              <w:jc w:val="center"/>
              <w:ind w:left="350"/>
              <w:spacing w:after="0"/>
              <w:rPr>
                <w:sz w:val="20"/>
                <w:szCs w:val="20"/>
                <w:color w:val="auto"/>
              </w:rPr>
            </w:pPr>
            <w:r>
              <w:rPr>
                <w:rFonts w:ascii="Times New Roman" w:cs="Times New Roman" w:eastAsia="Times New Roman" w:hAnsi="Times New Roman"/>
                <w:sz w:val="17"/>
                <w:szCs w:val="17"/>
                <w:color w:val="0000FF"/>
              </w:rPr>
              <w:t>54</w:t>
            </w:r>
          </w:p>
        </w:tc>
        <w:tc>
          <w:tcPr>
            <w:tcW w:w="120" w:type="dxa"/>
            <w:vAlign w:val="bottom"/>
          </w:tcPr>
          <w:p>
            <w:pPr>
              <w:spacing w:after="0"/>
              <w:rPr>
                <w:sz w:val="17"/>
                <w:szCs w:val="17"/>
                <w:color w:val="auto"/>
              </w:rPr>
            </w:pPr>
          </w:p>
        </w:tc>
      </w:tr>
      <w:tr>
        <w:trPr>
          <w:trHeight w:val="20"/>
        </w:trPr>
        <w:tc>
          <w:tcPr>
            <w:tcW w:w="2320" w:type="dxa"/>
            <w:vAlign w:val="bottom"/>
            <w:gridSpan w:val="4"/>
            <w:shd w:val="clear" w:color="auto" w:fill="0000FF"/>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68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APPENDIX A - RECONCILIATION OF GAAP TO NON-GAAP FINANCIAL INFORMATION</w:t>
            </w:r>
          </w:p>
        </w:tc>
        <w:tc>
          <w:tcPr>
            <w:tcW w:w="31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0000FF"/>
                <w:w w:val="72"/>
              </w:rPr>
              <w:t>A-1</w:t>
            </w:r>
          </w:p>
        </w:tc>
      </w:tr>
      <w:tr>
        <w:trPr>
          <w:trHeight w:val="20"/>
        </w:trPr>
        <w:tc>
          <w:tcPr>
            <w:tcW w:w="6860" w:type="dxa"/>
            <w:vAlign w:val="bottom"/>
            <w:gridSpan w:val="12"/>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25"/>
        </w:trPr>
        <w:tc>
          <w:tcPr>
            <w:tcW w:w="9960" w:type="dxa"/>
            <w:vAlign w:val="bottom"/>
            <w:gridSpan w:val="15"/>
          </w:tcPr>
          <w:p>
            <w:pPr>
              <w:spacing w:after="0" w:line="125" w:lineRule="exact"/>
              <w:rPr>
                <w:sz w:val="20"/>
                <w:szCs w:val="20"/>
                <w:color w:val="auto"/>
              </w:rPr>
            </w:pPr>
            <w:r>
              <w:rPr>
                <w:rFonts w:ascii="Times New Roman" w:cs="Times New Roman" w:eastAsia="Times New Roman" w:hAnsi="Times New Roman"/>
                <w:sz w:val="14"/>
                <w:szCs w:val="14"/>
                <w:color w:val="0000FF"/>
              </w:rPr>
              <w:t>APPENDIX B - SECOND AMENDED AND RESTATED 2016 STOCK AND INCENTIVE PLAN (AS AMENDED BY THE SECOND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77"/>
        </w:trPr>
        <w:tc>
          <w:tcPr>
            <w:tcW w:w="1200" w:type="dxa"/>
            <w:vAlign w:val="bottom"/>
            <w:tcBorders>
              <w:bottom w:val="single" w:sz="8" w:color="0000FF"/>
            </w:tcBorders>
          </w:tcPr>
          <w:p>
            <w:pPr>
              <w:spacing w:after="0"/>
              <w:rPr>
                <w:sz w:val="6"/>
                <w:szCs w:val="6"/>
                <w:color w:val="auto"/>
              </w:rPr>
            </w:pPr>
          </w:p>
        </w:tc>
        <w:tc>
          <w:tcPr>
            <w:tcW w:w="8440" w:type="dxa"/>
            <w:vAlign w:val="bottom"/>
            <w:tcBorders>
              <w:bottom w:val="single" w:sz="8" w:color="0000FF"/>
            </w:tcBorders>
          </w:tcPr>
          <w:p>
            <w:pPr>
              <w:spacing w:after="0"/>
              <w:rPr>
                <w:sz w:val="6"/>
                <w:szCs w:val="6"/>
                <w:color w:val="auto"/>
              </w:rPr>
            </w:pPr>
          </w:p>
        </w:tc>
        <w:tc>
          <w:tcPr>
            <w:tcW w:w="980" w:type="dxa"/>
            <w:vAlign w:val="bottom"/>
            <w:gridSpan w:val="2"/>
            <w:vMerge w:val="restart"/>
          </w:tcPr>
          <w:p>
            <w:pPr>
              <w:ind w:left="720"/>
              <w:spacing w:after="0" w:line="168" w:lineRule="exact"/>
              <w:rPr>
                <w:sz w:val="20"/>
                <w:szCs w:val="20"/>
                <w:color w:val="auto"/>
              </w:rPr>
            </w:pPr>
            <w:r>
              <w:rPr>
                <w:rFonts w:ascii="Times New Roman" w:cs="Times New Roman" w:eastAsia="Times New Roman" w:hAnsi="Times New Roman"/>
                <w:sz w:val="17"/>
                <w:szCs w:val="17"/>
                <w:color w:val="0000FF"/>
                <w:w w:val="93"/>
              </w:rPr>
              <w:t>B-1</w:t>
            </w:r>
          </w:p>
        </w:tc>
        <w:tc>
          <w:tcPr>
            <w:tcW w:w="0" w:type="dxa"/>
            <w:vAlign w:val="bottom"/>
          </w:tcPr>
          <w:p>
            <w:pPr>
              <w:spacing w:after="0"/>
              <w:rPr>
                <w:sz w:val="1"/>
                <w:szCs w:val="1"/>
                <w:color w:val="auto"/>
              </w:rPr>
            </w:pPr>
          </w:p>
        </w:tc>
      </w:tr>
      <w:tr>
        <w:trPr>
          <w:trHeight w:val="71"/>
        </w:trPr>
        <w:tc>
          <w:tcPr>
            <w:tcW w:w="1200" w:type="dxa"/>
            <w:vAlign w:val="bottom"/>
            <w:vMerge w:val="restart"/>
          </w:tcPr>
          <w:p>
            <w:pPr>
              <w:spacing w:after="0" w:line="150" w:lineRule="exact"/>
              <w:rPr>
                <w:sz w:val="20"/>
                <w:szCs w:val="20"/>
                <w:color w:val="auto"/>
              </w:rPr>
            </w:pPr>
            <w:r>
              <w:rPr>
                <w:rFonts w:ascii="Times New Roman" w:cs="Times New Roman" w:eastAsia="Times New Roman" w:hAnsi="Times New Roman"/>
                <w:sz w:val="17"/>
                <w:szCs w:val="17"/>
                <w:color w:val="0000FF"/>
              </w:rPr>
              <w:t>AMENDMENT)</w:t>
            </w:r>
          </w:p>
        </w:tc>
        <w:tc>
          <w:tcPr>
            <w:tcW w:w="8440" w:type="dxa"/>
            <w:vAlign w:val="bottom"/>
            <w:vMerge w:val="restart"/>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200" w:type="dxa"/>
            <w:vAlign w:val="bottom"/>
            <w:tcBorders>
              <w:bottom w:val="single" w:sz="8" w:color="0000FF"/>
            </w:tcBorders>
            <w:vMerge w:val="continue"/>
          </w:tcPr>
          <w:p>
            <w:pPr>
              <w:spacing w:after="0"/>
              <w:rPr>
                <w:sz w:val="5"/>
                <w:szCs w:val="5"/>
                <w:color w:val="auto"/>
              </w:rPr>
            </w:pPr>
          </w:p>
        </w:tc>
        <w:tc>
          <w:tcPr>
            <w:tcW w:w="8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 and Website References</w:t>
      </w:r>
    </w:p>
    <w:p>
      <w:pPr>
        <w:spacing w:after="0" w:line="163"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This document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2023 Annual Report on Form 10-K. Website references throughout this document are provided for convenience only, and the content on the referenced websites is not incorporated by reference into this document.</w:t>
      </w:r>
    </w:p>
    <w:p>
      <w:pPr>
        <w:sectPr>
          <w:pgSz w:w="11900" w:h="16838" w:orient="portrait"/>
          <w:cols w:equalWidth="0" w:num="1">
            <w:col w:w="11240"/>
          </w:cols>
          <w:pgMar w:left="320" w:top="107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FORUM ENERGY TECHNOLOGIES,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10344 Sam Houston Park Drive, Suite 300, Houston, Texas 77064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2024 ANNUAL MEETING OF STOCKHOLDERS</w:t>
      </w:r>
    </w:p>
    <w:p>
      <w:pPr>
        <w:spacing w:after="0" w:line="204"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our board of directors for use at the 2024 Annual Meeting of Stockholders of Forum Energy Technologies, Inc. to be held on May 10, 2024, or at any adjournment or postponement thereof, at the time and place and for the purposes specified in the accompanying notice of annual meeting. This proxy statement is first being made available to our stockholders on or about March 27, 2024.</w:t>
      </w:r>
    </w:p>
    <w:p>
      <w:pPr>
        <w:spacing w:after="0" w:line="377"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We have elected to provide access to our proxy materials over the Internet and are sending a Notice of Internet Availability of Proxy Materials (the “Notice”) to our stockholders of record. All stockholders will have the ability to access the proxy materials. Instructions on how to access the proxy materials over the Internet, or to request a printed copy, may be found on the Notice or voting instruction form, as applicable.</w:t>
      </w:r>
    </w:p>
    <w:p>
      <w:pPr>
        <w:spacing w:after="0" w:line="16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All properly executed written proxies delivered pursuant to this solicitation, and not later revoked, will be voted at the annual meeting in accordance with the instructions given in the proxy. When voting regarding the election of directors, stockholders may vote in favor of all nominees, withhold their votes as to all nominees or withhold their votes as to specific nominees. When voting regarding the approval of the compensation of our named executive officers, the approval of the amendment to our Second Amended and Restated 2016 Stock and Incentive Plan, and the ratification of the appointment of our independent registered public accounting firm, stockholders may vote for or against the proposal or may abstain from voting. Stockholders should vote their shares on the proxy card. If no choice is indicated, proxies that are signed and returned will be voted as recommended by our board of directors.</w:t>
      </w:r>
    </w:p>
    <w:p>
      <w:pPr>
        <w:spacing w:after="0" w:line="172"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All shares of our common stock represented by properly executed and unrevoked proxies will be voted if such proxies are received in time for the meeting.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QUORUM, VOTE REQUIRED AND REVOCATION OF PROXIES</w:t>
      </w:r>
    </w:p>
    <w:p>
      <w:pPr>
        <w:spacing w:after="0" w:line="22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board of directors has established March 15, 2024 as the record date for the determination of stockholders entitled to notice of and to vote at the annual meeting. As of the record date, 12,283,670 shares of common stock were issued and outstanding. Each share of common stock is entitled to one vote upon each matter to be voted on at the meeting. The presence, in person or by proxy, of the holders of a majority of the issued and outstanding shares of common stock entitled to vote at the annual meeting is necessary to constitute a quorum.</w:t>
      </w:r>
    </w:p>
    <w:p>
      <w:pPr>
        <w:spacing w:after="0" w:line="168"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two nominees for director who receive the greatest number of votes cast at the meeting will be elected as directors. If any nominee for director receives a greater number of votes “withheld” than votes “for” such election, our board of directors requires that such person must tender his or her resignation. Cumulative voting is not permitted in the election of directors. Each of the approval of the compensation of our named executive officers on an advisory basis, the approval of the amendment to our Second Amended and Restated 2016 Stock and Incentive Plan and the ratification of the appointment of our independent registered public accounting firm is subject to the approval of a majority in voting power of the shares of common stock present in person or by proxy at the meeting and entitled to vote on the matter.</w:t>
      </w:r>
    </w:p>
    <w:p>
      <w:pPr>
        <w:spacing w:after="0" w:line="159"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Brokers holding shares of our common stock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2" w:right="339" w:bottom="1440" w:gutter="0" w:footer="0" w:header="0"/>
        </w:sectPr>
      </w:pPr>
    </w:p>
    <w:bookmarkStart w:id="10" w:name="page11"/>
    <w:bookmarkEnd w:id="10"/>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but not all matters, it will result in a “broker non-vote” for the matters on which the broker does not vote. As a result, we urge you to promptly provide voting instructions to your broker to ensure that your shares are voted on all of the proposals.</w:t>
      </w:r>
    </w:p>
    <w:p>
      <w:pPr>
        <w:spacing w:after="0" w:line="15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Abstentions and broker non-votes are counted as present in determining whether the quorum requirement is satisfied. For purposes of determining the outcome of any question as to which the broker has indicated that it does not have discretionary authority to vote, these shares will be treated as not present with respect to that question, even though those shares are considered present for quorum purposes and may be entitled to vote on other questions. Broker non-votes are not considered as votes cast and will not be counted in determining the outcome of the vote on the election of directors or on any of the other proposals. Because the two nominees for director who receive the greatest number of votes cast at the meeting will be elected, abstentions will not affect the outcome of the voting on this item. Because the approval of the compensation of our named executive officers on an advisory basis, the approval of the amendment to our Second Amended and Restated 2016 Stock and Incentive Plan and the ratification of the appointment of our independent registered public accounting firm requires the approval of a majority in voting power of the shares of common stock present in person or by proxy at the meeting and entitled to vote on the applicable matter, abstentions will have the same effect as votes against these proposals.</w:t>
      </w:r>
    </w:p>
    <w:p>
      <w:pPr>
        <w:spacing w:after="0" w:line="17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Each stockholder may appoint only one proxy holder or representative to attend the meeting on his or her behalf. Any holder of our common stock has the right to revoke his or her proxy at any time prior to the voting deadline at the annual meeting by: (1) filing a written revocation with the Secretary prior to the voting of such proxy, (2) giving a duly executed proxy bearing a later date, or (3) attending the annual meeting and voting in person. Attendance by a stockholder at the annual meeting will not itself revoke his or her proxy. If you hold your shares in the name of a bank, broker or other nominee, you should follow the instructions provided by your bank, broker or nominee in revoking your previously granted proxy.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If your properly executed proxy does not indicate how you wish to vote your common stock, the persons named on the proxy card will vote as follows: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Proposal 1: “FOR ALL NOMINEES”;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Proposal 2: “FOR”;</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Proposal 3: “FOR”; and</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Proposal 4: “FOR”.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COST AND METHOD OF PROXY SOLICITATION</w:t>
      </w:r>
    </w:p>
    <w:p>
      <w:pPr>
        <w:spacing w:after="0" w:line="215"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We will bear the cost of the solicitation of proxies. In addition to solicitation by mail, our directors, officers and employees may solicit proxies from stockholders by telephone or facsimile or in person. Proxy materials will be furnished without cost to brokers, dealers and other custodian nominees and fiduciaries to forward to the beneficial owners of shares held in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SECURITY OWNERSHIP</w:t>
      </w:r>
    </w:p>
    <w:p>
      <w:pPr>
        <w:spacing w:after="0" w:line="215" w:lineRule="exact"/>
        <w:rPr>
          <w:sz w:val="20"/>
          <w:szCs w:val="20"/>
          <w:color w:val="auto"/>
        </w:rPr>
      </w:pPr>
    </w:p>
    <w:p>
      <w:pPr>
        <w:jc w:val="both"/>
        <w:ind w:right="20" w:firstLine="470"/>
        <w:spacing w:after="0" w:line="269" w:lineRule="auto"/>
        <w:rPr>
          <w:sz w:val="20"/>
          <w:szCs w:val="20"/>
          <w:color w:val="auto"/>
        </w:rPr>
      </w:pPr>
      <w:r>
        <w:rPr>
          <w:rFonts w:ascii="Times New Roman" w:cs="Times New Roman" w:eastAsia="Times New Roman" w:hAnsi="Times New Roman"/>
          <w:sz w:val="17"/>
          <w:szCs w:val="17"/>
          <w:color w:val="auto"/>
        </w:rPr>
        <w:t>The following table sets forth information as of March 15, 2024 with regard to the beneficial ownership of our common stock by (1) each of our stockholders who is known by us to be a beneficial owner of more than 5% of our common stock, (2) our directors and director nominees and the persons named in the “Summary Compensation Table” below and (3) all of our current executive officers and directors as a group. Unless otherwise indicated, all of such stock is owned directly, and the indicated person or entity has sole voting and investment power.</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5660" w:type="dxa"/>
            <w:vAlign w:val="bottom"/>
            <w:tcBorders>
              <w:top w:val="single" w:sz="8" w:color="auto"/>
              <w:left w:val="single" w:sz="8" w:color="auto"/>
            </w:tcBorders>
            <w:vMerge w:val="restart"/>
            <w:shd w:val="clear" w:color="auto" w:fill="051E68"/>
          </w:tcPr>
          <w:p>
            <w:pPr>
              <w:ind w:left="2100"/>
              <w:spacing w:after="0"/>
              <w:rPr>
                <w:sz w:val="20"/>
                <w:szCs w:val="20"/>
                <w:color w:val="auto"/>
              </w:rPr>
            </w:pPr>
            <w:r>
              <w:rPr>
                <w:rFonts w:ascii="Times New Roman" w:cs="Times New Roman" w:eastAsia="Times New Roman" w:hAnsi="Times New Roman"/>
                <w:sz w:val="17"/>
                <w:szCs w:val="17"/>
                <w:b w:val="1"/>
                <w:bCs w:val="1"/>
                <w:color w:val="FFFFFF"/>
              </w:rPr>
              <w:t xml:space="preserve">Name and Address </w:t>
            </w:r>
            <w:r>
              <w:rPr>
                <w:rFonts w:ascii="Times New Roman" w:cs="Times New Roman" w:eastAsia="Times New Roman" w:hAnsi="Times New Roman"/>
                <w:sz w:val="22"/>
                <w:szCs w:val="22"/>
                <w:b w:val="1"/>
                <w:bCs w:val="1"/>
                <w:color w:val="FFFFFF"/>
                <w:vertAlign w:val="superscript"/>
              </w:rPr>
              <w:t>(1)</w:t>
            </w:r>
          </w:p>
        </w:tc>
        <w:tc>
          <w:tcPr>
            <w:tcW w:w="3300" w:type="dxa"/>
            <w:vAlign w:val="bottom"/>
            <w:tcBorders>
              <w:top w:val="single" w:sz="8" w:color="auto"/>
            </w:tcBorders>
            <w:shd w:val="clear" w:color="auto" w:fill="051E68"/>
          </w:tcPr>
          <w:p>
            <w:pPr>
              <w:jc w:val="center"/>
              <w:ind w:left="293"/>
              <w:spacing w:after="0" w:line="185" w:lineRule="exact"/>
              <w:rPr>
                <w:sz w:val="20"/>
                <w:szCs w:val="20"/>
                <w:color w:val="auto"/>
              </w:rPr>
            </w:pPr>
            <w:r>
              <w:rPr>
                <w:rFonts w:ascii="Times New Roman" w:cs="Times New Roman" w:eastAsia="Times New Roman" w:hAnsi="Times New Roman"/>
                <w:sz w:val="17"/>
                <w:szCs w:val="17"/>
                <w:b w:val="1"/>
                <w:bCs w:val="1"/>
                <w:color w:val="FFFFFF"/>
              </w:rPr>
              <w:t>Number of Shares</w:t>
            </w:r>
          </w:p>
        </w:tc>
        <w:tc>
          <w:tcPr>
            <w:tcW w:w="2300" w:type="dxa"/>
            <w:vAlign w:val="bottom"/>
            <w:tcBorders>
              <w:top w:val="single" w:sz="8" w:color="auto"/>
              <w:right w:val="single" w:sz="8" w:color="auto"/>
            </w:tcBorders>
            <w:vMerge w:val="restart"/>
            <w:shd w:val="clear" w:color="auto" w:fill="051E68"/>
          </w:tcPr>
          <w:p>
            <w:pPr>
              <w:ind w:left="640"/>
              <w:spacing w:after="0"/>
              <w:rPr>
                <w:sz w:val="20"/>
                <w:szCs w:val="20"/>
                <w:color w:val="auto"/>
              </w:rPr>
            </w:pPr>
            <w:r>
              <w:rPr>
                <w:rFonts w:ascii="Times New Roman" w:cs="Times New Roman" w:eastAsia="Times New Roman" w:hAnsi="Times New Roman"/>
                <w:sz w:val="17"/>
                <w:szCs w:val="17"/>
                <w:b w:val="1"/>
                <w:bCs w:val="1"/>
                <w:color w:val="FFFFFF"/>
              </w:rPr>
              <w:t>Percent of Class</w:t>
            </w:r>
          </w:p>
        </w:tc>
        <w:tc>
          <w:tcPr>
            <w:tcW w:w="0" w:type="dxa"/>
            <w:vAlign w:val="bottom"/>
          </w:tcPr>
          <w:p>
            <w:pPr>
              <w:spacing w:after="0"/>
              <w:rPr>
                <w:sz w:val="1"/>
                <w:szCs w:val="1"/>
                <w:color w:val="auto"/>
              </w:rPr>
            </w:pPr>
          </w:p>
        </w:tc>
      </w:tr>
      <w:tr>
        <w:trPr>
          <w:trHeight w:val="232"/>
        </w:trPr>
        <w:tc>
          <w:tcPr>
            <w:tcW w:w="5660" w:type="dxa"/>
            <w:vAlign w:val="bottom"/>
            <w:tcBorders>
              <w:left w:val="single" w:sz="8" w:color="auto"/>
              <w:bottom w:val="single" w:sz="8" w:color="auto"/>
            </w:tcBorders>
            <w:vMerge w:val="continue"/>
            <w:shd w:val="clear" w:color="auto" w:fill="051E68"/>
          </w:tcPr>
          <w:p>
            <w:pPr>
              <w:spacing w:after="0"/>
              <w:rPr>
                <w:sz w:val="20"/>
                <w:szCs w:val="20"/>
                <w:color w:val="auto"/>
              </w:rPr>
            </w:pPr>
          </w:p>
        </w:tc>
        <w:tc>
          <w:tcPr>
            <w:tcW w:w="3300" w:type="dxa"/>
            <w:vAlign w:val="bottom"/>
            <w:tcBorders>
              <w:bottom w:val="single" w:sz="8" w:color="auto"/>
            </w:tcBorders>
            <w:shd w:val="clear" w:color="auto" w:fill="051E68"/>
          </w:tcPr>
          <w:p>
            <w:pPr>
              <w:jc w:val="center"/>
              <w:ind w:left="273"/>
              <w:spacing w:after="0" w:line="232" w:lineRule="exact"/>
              <w:rPr>
                <w:sz w:val="20"/>
                <w:szCs w:val="20"/>
                <w:color w:val="auto"/>
              </w:rPr>
            </w:pPr>
            <w:r>
              <w:rPr>
                <w:rFonts w:ascii="Times New Roman" w:cs="Times New Roman" w:eastAsia="Times New Roman" w:hAnsi="Times New Roman"/>
                <w:sz w:val="17"/>
                <w:szCs w:val="17"/>
                <w:b w:val="1"/>
                <w:bCs w:val="1"/>
                <w:color w:val="FFFFFF"/>
                <w:w w:val="99"/>
              </w:rPr>
              <w:t xml:space="preserve">Beneficially Owned </w:t>
            </w:r>
            <w:r>
              <w:rPr>
                <w:rFonts w:ascii="Times New Roman" w:cs="Times New Roman" w:eastAsia="Times New Roman" w:hAnsi="Times New Roman"/>
                <w:sz w:val="22"/>
                <w:szCs w:val="22"/>
                <w:b w:val="1"/>
                <w:bCs w:val="1"/>
                <w:color w:val="FFFFFF"/>
                <w:w w:val="99"/>
                <w:vertAlign w:val="superscript"/>
              </w:rPr>
              <w:t>(2)</w:t>
            </w:r>
          </w:p>
        </w:tc>
        <w:tc>
          <w:tcPr>
            <w:tcW w:w="2300" w:type="dxa"/>
            <w:vAlign w:val="bottom"/>
            <w:tcBorders>
              <w:bottom w:val="single" w:sz="8" w:color="auto"/>
              <w:right w:val="single" w:sz="8" w:color="auto"/>
            </w:tcBorders>
            <w:vMerge w:val="continue"/>
            <w:shd w:val="clear" w:color="auto" w:fill="051E68"/>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Stockholders owning 5% or more:</w:t>
            </w:r>
          </w:p>
        </w:tc>
        <w:tc>
          <w:tcPr>
            <w:tcW w:w="3300" w:type="dxa"/>
            <w:vAlign w:val="bottom"/>
            <w:shd w:val="clear" w:color="auto" w:fill="CCEEFF"/>
          </w:tcPr>
          <w:p>
            <w:pPr>
              <w:spacing w:after="0"/>
              <w:rPr>
                <w:sz w:val="19"/>
                <w:szCs w:val="19"/>
                <w:color w:val="auto"/>
              </w:rPr>
            </w:pPr>
          </w:p>
        </w:tc>
        <w:tc>
          <w:tcPr>
            <w:tcW w:w="23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60" w:type="dxa"/>
            <w:vAlign w:val="bottom"/>
            <w:tcBorders>
              <w:left w:val="single" w:sz="8" w:color="auto"/>
            </w:tcBorders>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230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Variperm Energy Services Partnership</w:t>
            </w:r>
          </w:p>
        </w:tc>
        <w:tc>
          <w:tcPr>
            <w:tcW w:w="3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600 Travis Street, Suite #6600</w:t>
            </w:r>
          </w:p>
        </w:tc>
        <w:tc>
          <w:tcPr>
            <w:tcW w:w="3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Houston, TX 77002 </w:t>
            </w:r>
            <w:r>
              <w:rPr>
                <w:rFonts w:ascii="Times New Roman" w:cs="Times New Roman" w:eastAsia="Times New Roman" w:hAnsi="Times New Roman"/>
                <w:sz w:val="22"/>
                <w:szCs w:val="22"/>
                <w:color w:val="auto"/>
                <w:vertAlign w:val="superscript"/>
              </w:rPr>
              <w:t>(3)</w:t>
            </w:r>
          </w:p>
        </w:tc>
        <w:tc>
          <w:tcPr>
            <w:tcW w:w="330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1,034,343</w:t>
            </w:r>
          </w:p>
        </w:tc>
        <w:tc>
          <w:tcPr>
            <w:tcW w:w="2300" w:type="dxa"/>
            <w:vAlign w:val="bottom"/>
            <w:tcBorders>
              <w:right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MacKay Shields LLC</w:t>
            </w:r>
          </w:p>
        </w:tc>
        <w:tc>
          <w:tcPr>
            <w:tcW w:w="3300" w:type="dxa"/>
            <w:vAlign w:val="bottom"/>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1345 Avenue of the Americas</w:t>
            </w:r>
          </w:p>
        </w:tc>
        <w:tc>
          <w:tcPr>
            <w:tcW w:w="3300" w:type="dxa"/>
            <w:vAlign w:val="bottom"/>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New York, NY 10105 </w:t>
            </w:r>
            <w:r>
              <w:rPr>
                <w:rFonts w:ascii="Times New Roman" w:cs="Times New Roman" w:eastAsia="Times New Roman" w:hAnsi="Times New Roman"/>
                <w:sz w:val="22"/>
                <w:szCs w:val="22"/>
                <w:color w:val="auto"/>
                <w:vertAlign w:val="superscript"/>
              </w:rPr>
              <w:t>(4)</w:t>
            </w: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980,838</w:t>
            </w:r>
          </w:p>
        </w:tc>
        <w:tc>
          <w:tcPr>
            <w:tcW w:w="2300" w:type="dxa"/>
            <w:vAlign w:val="bottom"/>
            <w:tcBorders>
              <w:right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Keyframe Capital Partners, L.P.</w:t>
            </w:r>
          </w:p>
        </w:tc>
        <w:tc>
          <w:tcPr>
            <w:tcW w:w="3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65 East 55th Street, 35th Floor</w:t>
            </w:r>
          </w:p>
        </w:tc>
        <w:tc>
          <w:tcPr>
            <w:tcW w:w="33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New York, New York 10022</w:t>
            </w:r>
            <w:r>
              <w:rPr>
                <w:rFonts w:ascii="Times New Roman" w:cs="Times New Roman" w:eastAsia="Times New Roman" w:hAnsi="Times New Roman"/>
                <w:sz w:val="22"/>
                <w:szCs w:val="22"/>
                <w:color w:val="auto"/>
                <w:vertAlign w:val="superscript"/>
              </w:rPr>
              <w:t>(5)</w:t>
            </w:r>
          </w:p>
        </w:tc>
        <w:tc>
          <w:tcPr>
            <w:tcW w:w="330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rPr>
              <w:t>746,047</w:t>
            </w:r>
          </w:p>
        </w:tc>
        <w:tc>
          <w:tcPr>
            <w:tcW w:w="2300" w:type="dxa"/>
            <w:vAlign w:val="bottom"/>
            <w:tcBorders>
              <w:right w:val="single" w:sz="8" w:color="auto"/>
            </w:tcBorders>
          </w:tcPr>
          <w:p>
            <w:pPr>
              <w:jc w:val="center"/>
              <w:ind w:left="113"/>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BlackRock, Inc.</w:t>
            </w:r>
          </w:p>
        </w:tc>
        <w:tc>
          <w:tcPr>
            <w:tcW w:w="3300" w:type="dxa"/>
            <w:vAlign w:val="bottom"/>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50 Hudson Yards</w:t>
            </w:r>
          </w:p>
        </w:tc>
        <w:tc>
          <w:tcPr>
            <w:tcW w:w="3300" w:type="dxa"/>
            <w:vAlign w:val="bottom"/>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New York, NY 10001</w:t>
            </w:r>
            <w:r>
              <w:rPr>
                <w:rFonts w:ascii="Times New Roman" w:cs="Times New Roman" w:eastAsia="Times New Roman" w:hAnsi="Times New Roman"/>
                <w:sz w:val="22"/>
                <w:szCs w:val="22"/>
                <w:color w:val="auto"/>
                <w:vertAlign w:val="superscript"/>
              </w:rPr>
              <w:t>(6)</w:t>
            </w: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671,848</w:t>
            </w:r>
          </w:p>
        </w:tc>
        <w:tc>
          <w:tcPr>
            <w:tcW w:w="2300" w:type="dxa"/>
            <w:vAlign w:val="bottom"/>
            <w:tcBorders>
              <w:right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61"/>
        </w:trPr>
        <w:tc>
          <w:tcPr>
            <w:tcW w:w="5660" w:type="dxa"/>
            <w:vAlign w:val="bottom"/>
            <w:tcBorders>
              <w:left w:val="single" w:sz="8" w:color="auto"/>
            </w:tcBorders>
          </w:tcPr>
          <w:p>
            <w:pPr>
              <w:spacing w:after="0"/>
              <w:rPr>
                <w:sz w:val="22"/>
                <w:szCs w:val="22"/>
                <w:color w:val="auto"/>
              </w:rPr>
            </w:pPr>
          </w:p>
        </w:tc>
        <w:tc>
          <w:tcPr>
            <w:tcW w:w="330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Directors, Director Nominees, and Named Executive Officers:</w:t>
            </w:r>
          </w:p>
        </w:tc>
        <w:tc>
          <w:tcPr>
            <w:tcW w:w="3300" w:type="dxa"/>
            <w:vAlign w:val="bottom"/>
            <w:shd w:val="clear" w:color="auto" w:fill="CCEEFF"/>
          </w:tcPr>
          <w:p>
            <w:pPr>
              <w:spacing w:after="0"/>
              <w:rPr>
                <w:sz w:val="19"/>
                <w:szCs w:val="19"/>
                <w:color w:val="auto"/>
              </w:rPr>
            </w:pPr>
          </w:p>
        </w:tc>
        <w:tc>
          <w:tcPr>
            <w:tcW w:w="23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60" w:type="dxa"/>
            <w:vAlign w:val="bottom"/>
            <w:tcBorders>
              <w:left w:val="single" w:sz="8" w:color="auto"/>
            </w:tcBorders>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230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C. Christopher Gaut </w:t>
            </w:r>
            <w:r>
              <w:rPr>
                <w:rFonts w:ascii="Times New Roman" w:cs="Times New Roman" w:eastAsia="Times New Roman" w:hAnsi="Times New Roman"/>
                <w:sz w:val="22"/>
                <w:szCs w:val="22"/>
                <w:color w:val="auto"/>
                <w:vertAlign w:val="superscript"/>
              </w:rPr>
              <w:t>(7)</w:t>
            </w:r>
          </w:p>
        </w:tc>
        <w:tc>
          <w:tcPr>
            <w:tcW w:w="3300" w:type="dxa"/>
            <w:vAlign w:val="bottom"/>
            <w:vMerge w:val="restart"/>
          </w:tcPr>
          <w:p>
            <w:pPr>
              <w:jc w:val="center"/>
              <w:ind w:left="293"/>
              <w:spacing w:after="0"/>
              <w:rPr>
                <w:sz w:val="20"/>
                <w:szCs w:val="20"/>
                <w:color w:val="auto"/>
              </w:rPr>
            </w:pPr>
            <w:r>
              <w:rPr>
                <w:rFonts w:ascii="Times New Roman" w:cs="Times New Roman" w:eastAsia="Times New Roman" w:hAnsi="Times New Roman"/>
                <w:sz w:val="17"/>
                <w:szCs w:val="17"/>
                <w:color w:val="auto"/>
              </w:rPr>
              <w:t>309,761</w:t>
            </w:r>
          </w:p>
        </w:tc>
        <w:tc>
          <w:tcPr>
            <w:tcW w:w="2300" w:type="dxa"/>
            <w:vAlign w:val="bottom"/>
            <w:tcBorders>
              <w:right w:val="single" w:sz="8" w:color="auto"/>
            </w:tcBorders>
            <w:vMerge w:val="restart"/>
          </w:tcPr>
          <w:p>
            <w:pPr>
              <w:jc w:val="center"/>
              <w:ind w:left="113"/>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52"/>
        </w:trPr>
        <w:tc>
          <w:tcPr>
            <w:tcW w:w="5660" w:type="dxa"/>
            <w:vAlign w:val="bottom"/>
            <w:tcBorders>
              <w:left w:val="single" w:sz="8" w:color="auto"/>
            </w:tcBorders>
          </w:tcPr>
          <w:p>
            <w:pPr>
              <w:spacing w:after="0"/>
              <w:rPr>
                <w:sz w:val="4"/>
                <w:szCs w:val="4"/>
                <w:color w:val="auto"/>
              </w:rPr>
            </w:pPr>
          </w:p>
        </w:tc>
        <w:tc>
          <w:tcPr>
            <w:tcW w:w="3300" w:type="dxa"/>
            <w:vAlign w:val="bottom"/>
            <w:vMerge w:val="continue"/>
          </w:tcPr>
          <w:p>
            <w:pPr>
              <w:spacing w:after="0"/>
              <w:rPr>
                <w:sz w:val="4"/>
                <w:szCs w:val="4"/>
                <w:color w:val="auto"/>
              </w:rPr>
            </w:pPr>
          </w:p>
        </w:tc>
        <w:tc>
          <w:tcPr>
            <w:tcW w:w="23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1"/>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Evelyn M. Angelle </w:t>
            </w:r>
            <w:r>
              <w:rPr>
                <w:rFonts w:ascii="Times New Roman" w:cs="Times New Roman" w:eastAsia="Times New Roman" w:hAnsi="Times New Roman"/>
                <w:sz w:val="22"/>
                <w:szCs w:val="22"/>
                <w:color w:val="auto"/>
                <w:vertAlign w:val="superscript"/>
              </w:rPr>
              <w:t>(8)</w:t>
            </w:r>
          </w:p>
        </w:tc>
        <w:tc>
          <w:tcPr>
            <w:tcW w:w="3300" w:type="dxa"/>
            <w:vAlign w:val="bottom"/>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660" w:type="dxa"/>
            <w:vAlign w:val="bottom"/>
            <w:tcBorders>
              <w:left w:val="single" w:sz="8" w:color="auto"/>
            </w:tcBorders>
            <w:shd w:val="clear" w:color="auto" w:fill="CCEEFF"/>
          </w:tcPr>
          <w:p>
            <w:pPr>
              <w:spacing w:after="0"/>
              <w:rPr>
                <w:sz w:val="19"/>
                <w:szCs w:val="19"/>
                <w:color w:val="auto"/>
              </w:rPr>
            </w:pP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10,683</w:t>
            </w:r>
          </w:p>
        </w:tc>
        <w:tc>
          <w:tcPr>
            <w:tcW w:w="2300" w:type="dxa"/>
            <w:vAlign w:val="bottom"/>
            <w:tcBorders>
              <w:right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70"/>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Lesle A. Beyer</w:t>
            </w:r>
          </w:p>
        </w:tc>
        <w:tc>
          <w:tcPr>
            <w:tcW w:w="33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660" w:type="dxa"/>
            <w:vAlign w:val="bottom"/>
            <w:tcBorders>
              <w:left w:val="single" w:sz="8" w:color="auto"/>
            </w:tcBorders>
          </w:tcPr>
          <w:p>
            <w:pPr>
              <w:spacing w:after="0"/>
              <w:rPr>
                <w:sz w:val="21"/>
                <w:szCs w:val="21"/>
                <w:color w:val="auto"/>
              </w:rPr>
            </w:pPr>
          </w:p>
        </w:tc>
        <w:tc>
          <w:tcPr>
            <w:tcW w:w="330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3"/>
              </w:rPr>
              <w:t>—</w:t>
            </w:r>
          </w:p>
        </w:tc>
        <w:tc>
          <w:tcPr>
            <w:tcW w:w="2300" w:type="dxa"/>
            <w:vAlign w:val="bottom"/>
            <w:tcBorders>
              <w:right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91"/>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John A. Carrig </w:t>
            </w:r>
            <w:r>
              <w:rPr>
                <w:rFonts w:ascii="Times New Roman" w:cs="Times New Roman" w:eastAsia="Times New Roman" w:hAnsi="Times New Roman"/>
                <w:sz w:val="22"/>
                <w:szCs w:val="22"/>
                <w:color w:val="auto"/>
                <w:vertAlign w:val="superscript"/>
              </w:rPr>
              <w:t>(9)</w:t>
            </w:r>
          </w:p>
        </w:tc>
        <w:tc>
          <w:tcPr>
            <w:tcW w:w="3300" w:type="dxa"/>
            <w:vAlign w:val="bottom"/>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660" w:type="dxa"/>
            <w:vAlign w:val="bottom"/>
            <w:tcBorders>
              <w:left w:val="single" w:sz="8" w:color="auto"/>
            </w:tcBorders>
            <w:shd w:val="clear" w:color="auto" w:fill="CCEEFF"/>
          </w:tcPr>
          <w:p>
            <w:pPr>
              <w:spacing w:after="0"/>
              <w:rPr>
                <w:sz w:val="19"/>
                <w:szCs w:val="19"/>
                <w:color w:val="auto"/>
              </w:rPr>
            </w:pP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56,787</w:t>
            </w:r>
          </w:p>
        </w:tc>
        <w:tc>
          <w:tcPr>
            <w:tcW w:w="2300" w:type="dxa"/>
            <w:vAlign w:val="bottom"/>
            <w:tcBorders>
              <w:right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313"/>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McShane</w:t>
            </w:r>
          </w:p>
        </w:tc>
        <w:tc>
          <w:tcPr>
            <w:tcW w:w="3300" w:type="dxa"/>
            <w:vAlign w:val="bottom"/>
            <w:vMerge w:val="restart"/>
          </w:tcPr>
          <w:p>
            <w:pPr>
              <w:jc w:val="center"/>
              <w:ind w:left="293"/>
              <w:spacing w:after="0"/>
              <w:rPr>
                <w:sz w:val="20"/>
                <w:szCs w:val="20"/>
                <w:color w:val="auto"/>
              </w:rPr>
            </w:pPr>
            <w:r>
              <w:rPr>
                <w:rFonts w:ascii="Times New Roman" w:cs="Times New Roman" w:eastAsia="Times New Roman" w:hAnsi="Times New Roman"/>
                <w:sz w:val="17"/>
                <w:szCs w:val="17"/>
                <w:color w:val="auto"/>
              </w:rPr>
              <w:t>10,936</w:t>
            </w:r>
          </w:p>
        </w:tc>
        <w:tc>
          <w:tcPr>
            <w:tcW w:w="2300" w:type="dxa"/>
            <w:vAlign w:val="bottom"/>
            <w:tcBorders>
              <w:right w:val="single" w:sz="8" w:color="auto"/>
            </w:tcBorders>
            <w:vMerge w:val="restart"/>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91"/>
        </w:trPr>
        <w:tc>
          <w:tcPr>
            <w:tcW w:w="5660" w:type="dxa"/>
            <w:vAlign w:val="bottom"/>
            <w:tcBorders>
              <w:left w:val="single" w:sz="8" w:color="auto"/>
            </w:tcBorders>
          </w:tcPr>
          <w:p>
            <w:pPr>
              <w:spacing w:after="0"/>
              <w:rPr>
                <w:sz w:val="7"/>
                <w:szCs w:val="7"/>
                <w:color w:val="auto"/>
              </w:rPr>
            </w:pPr>
          </w:p>
        </w:tc>
        <w:tc>
          <w:tcPr>
            <w:tcW w:w="3300" w:type="dxa"/>
            <w:vAlign w:val="bottom"/>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0"/>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Louis A. Raspino, Jr.</w:t>
            </w:r>
          </w:p>
        </w:tc>
        <w:tc>
          <w:tcPr>
            <w:tcW w:w="3300" w:type="dxa"/>
            <w:vAlign w:val="bottom"/>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660" w:type="dxa"/>
            <w:vAlign w:val="bottom"/>
            <w:tcBorders>
              <w:left w:val="single" w:sz="8" w:color="auto"/>
            </w:tcBorders>
            <w:shd w:val="clear" w:color="auto" w:fill="CCEEFF"/>
          </w:tcPr>
          <w:p>
            <w:pPr>
              <w:spacing w:after="0"/>
              <w:rPr>
                <w:sz w:val="21"/>
                <w:szCs w:val="21"/>
                <w:color w:val="auto"/>
              </w:rPr>
            </w:pP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13,096</w:t>
            </w:r>
          </w:p>
        </w:tc>
        <w:tc>
          <w:tcPr>
            <w:tcW w:w="2300" w:type="dxa"/>
            <w:vAlign w:val="bottom"/>
            <w:tcBorders>
              <w:right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70"/>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Paul E. Rowsey III</w:t>
            </w:r>
          </w:p>
        </w:tc>
        <w:tc>
          <w:tcPr>
            <w:tcW w:w="33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660" w:type="dxa"/>
            <w:vAlign w:val="bottom"/>
            <w:tcBorders>
              <w:left w:val="single" w:sz="8" w:color="auto"/>
            </w:tcBorders>
          </w:tcPr>
          <w:p>
            <w:pPr>
              <w:spacing w:after="0"/>
              <w:rPr>
                <w:sz w:val="21"/>
                <w:szCs w:val="21"/>
                <w:color w:val="auto"/>
              </w:rPr>
            </w:pPr>
          </w:p>
        </w:tc>
        <w:tc>
          <w:tcPr>
            <w:tcW w:w="330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rPr>
              <w:t>6,539</w:t>
            </w:r>
          </w:p>
        </w:tc>
        <w:tc>
          <w:tcPr>
            <w:tcW w:w="2300" w:type="dxa"/>
            <w:vAlign w:val="bottom"/>
            <w:tcBorders>
              <w:right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Neal A. Lux</w:t>
            </w: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141,390</w:t>
            </w:r>
          </w:p>
        </w:tc>
        <w:tc>
          <w:tcPr>
            <w:tcW w:w="2300" w:type="dxa"/>
            <w:vAlign w:val="bottom"/>
            <w:tcBorders>
              <w:right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56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 Lyle Williams</w:t>
            </w:r>
          </w:p>
        </w:tc>
        <w:tc>
          <w:tcPr>
            <w:tcW w:w="330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rPr>
              <w:t>66,949</w:t>
            </w:r>
          </w:p>
        </w:tc>
        <w:tc>
          <w:tcPr>
            <w:tcW w:w="2300" w:type="dxa"/>
            <w:vAlign w:val="bottom"/>
            <w:tcBorders>
              <w:right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56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C. Ivascu</w:t>
            </w:r>
          </w:p>
        </w:tc>
        <w:tc>
          <w:tcPr>
            <w:tcW w:w="33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44,398</w:t>
            </w:r>
          </w:p>
        </w:tc>
        <w:tc>
          <w:tcPr>
            <w:tcW w:w="2300" w:type="dxa"/>
            <w:vAlign w:val="bottom"/>
            <w:tcBorders>
              <w:right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56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All executive officers and directors as a group (14 persons)</w:t>
            </w:r>
          </w:p>
        </w:tc>
        <w:tc>
          <w:tcPr>
            <w:tcW w:w="330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7"/>
                <w:szCs w:val="17"/>
                <w:color w:val="auto"/>
              </w:rPr>
              <w:t>715,186</w:t>
            </w:r>
          </w:p>
        </w:tc>
        <w:tc>
          <w:tcPr>
            <w:tcW w:w="2300" w:type="dxa"/>
            <w:vAlign w:val="bottom"/>
            <w:tcBorders>
              <w:bottom w:val="single" w:sz="8" w:color="auto"/>
              <w:right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Less than 1% of issued and outstanding shares of common stock.</w:t>
      </w:r>
    </w:p>
    <w:p>
      <w:pPr>
        <w:spacing w:after="0" w:line="222" w:lineRule="exact"/>
        <w:rPr>
          <w:sz w:val="20"/>
          <w:szCs w:val="20"/>
          <w:color w:val="auto"/>
        </w:rPr>
      </w:pPr>
    </w:p>
    <w:p>
      <w:pPr>
        <w:ind w:left="480" w:right="20" w:hanging="476"/>
        <w:spacing w:after="0" w:line="295" w:lineRule="auto"/>
        <w:tabs>
          <w:tab w:leader="none" w:pos="4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the address of each beneficial owner is c/o Forum Energy Technologies, Inc., 10344 Sam Houston Park Drive, Suite 300, Houston, Texas 77064.</w:t>
      </w:r>
    </w:p>
    <w:p>
      <w:pPr>
        <w:spacing w:after="0" w:line="146" w:lineRule="exact"/>
        <w:rPr>
          <w:rFonts w:ascii="Times New Roman" w:cs="Times New Roman" w:eastAsia="Times New Roman" w:hAnsi="Times New Roman"/>
          <w:sz w:val="17"/>
          <w:szCs w:val="17"/>
          <w:color w:val="auto"/>
        </w:rPr>
      </w:pPr>
    </w:p>
    <w:p>
      <w:pPr>
        <w:jc w:val="both"/>
        <w:ind w:left="480" w:right="20" w:hanging="476"/>
        <w:spacing w:after="0" w:line="275" w:lineRule="auto"/>
        <w:tabs>
          <w:tab w:leader="none" w:pos="4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beneficially owned by the directors, director nominees and executive officers listed in the table includes shares that may be acquired within 60 days of March 15, 2024 by exercise of stock options or vesting of restricted stock units as follows: Mr. Gaut — 35,373; Mr. Williams — 4,609; and Mr. Ivascu — 355 and all current executive officers and directors as a group — 45,939.</w:t>
      </w:r>
    </w:p>
    <w:p>
      <w:pPr>
        <w:sectPr>
          <w:pgSz w:w="11900" w:h="1683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40" w:right="319" w:bottom="0" w:gutter="0" w:footer="0" w:header="0"/>
          <w:type w:val="continuous"/>
        </w:sectPr>
      </w:pPr>
    </w:p>
    <w:bookmarkStart w:id="12" w:name="page13"/>
    <w:bookmarkEnd w:id="12"/>
    <w:p>
      <w:pPr>
        <w:spacing w:after="0" w:line="144" w:lineRule="exact"/>
        <w:rPr>
          <w:sz w:val="20"/>
          <w:szCs w:val="20"/>
          <w:color w:val="auto"/>
        </w:rPr>
      </w:pPr>
    </w:p>
    <w:p>
      <w:pPr>
        <w:jc w:val="both"/>
        <w:ind w:left="480" w:hanging="476"/>
        <w:spacing w:after="0" w:line="269"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is as of January 4, 2024 and is based on a Schedule 13G filed with the SEC on January 12, 2024 by Variperm Energy Services Partnership, SCF-VIII, L.P., SCF-VIII-G.P., Limited Partnership and SCF GP LLC. The Schedule 13G reports sole voting power for no shares of common stock, shared voting power for 1,034,343 shares of common stock, sole dispositive power for no shares of common stock and shared dispositive power for 1,034,343 shares of common stock.</w:t>
      </w:r>
    </w:p>
    <w:p>
      <w:pPr>
        <w:spacing w:after="0" w:line="167" w:lineRule="exact"/>
        <w:rPr>
          <w:rFonts w:ascii="Times New Roman" w:cs="Times New Roman" w:eastAsia="Times New Roman" w:hAnsi="Times New Roman"/>
          <w:sz w:val="17"/>
          <w:szCs w:val="17"/>
          <w:color w:val="auto"/>
        </w:rPr>
      </w:pPr>
    </w:p>
    <w:p>
      <w:pPr>
        <w:jc w:val="both"/>
        <w:ind w:left="480" w:hanging="476"/>
        <w:spacing w:after="0" w:line="266"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is as of December 31, 2023 and is based on a Schedule 13G/A filed with the SEC on January 8, 2024 by MacKay Shields LLC. The Schedule 13G/A reports sole voting power for 980,838 shares of common stock, shared voting power for no shares of common stock, sole dispositive power for 980,838 shares of common stock and shared dispositive power for no shares of common stock. The MainStay High Yield Corporate Bond Fund, a registered investment company for which Mackay Shields acts as sub-investment advisor, may be deemed to beneficially own 5.03% of the Company’s common stock (as of the Schedule 13G/A’s filing date).</w:t>
      </w:r>
    </w:p>
    <w:p>
      <w:pPr>
        <w:spacing w:after="0" w:line="169" w:lineRule="exact"/>
        <w:rPr>
          <w:rFonts w:ascii="Times New Roman" w:cs="Times New Roman" w:eastAsia="Times New Roman" w:hAnsi="Times New Roman"/>
          <w:sz w:val="17"/>
          <w:szCs w:val="17"/>
          <w:color w:val="auto"/>
        </w:rPr>
      </w:pPr>
    </w:p>
    <w:p>
      <w:pPr>
        <w:jc w:val="both"/>
        <w:ind w:left="480" w:hanging="476"/>
        <w:spacing w:after="0" w:line="269"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is as of December 31, 2023 and is based on a Schedule 13G filed with the SEC on February 9, 2024 by Keyframe Capital Partners, L.P., Keyframe Capital Partners GP, L.L.C., and John R. Rapaport. The Schedule 13G reports sole voting power for no shares of common stock, shared voting power for 746,047 shares of common stock, sole dispositive power for no shares of common stock and shared dispositive power for 746,047 shares of common stock.</w:t>
      </w:r>
    </w:p>
    <w:p>
      <w:pPr>
        <w:spacing w:after="0" w:line="167" w:lineRule="exact"/>
        <w:rPr>
          <w:rFonts w:ascii="Times New Roman" w:cs="Times New Roman" w:eastAsia="Times New Roman" w:hAnsi="Times New Roman"/>
          <w:sz w:val="17"/>
          <w:szCs w:val="17"/>
          <w:color w:val="auto"/>
        </w:rPr>
      </w:pPr>
    </w:p>
    <w:p>
      <w:pPr>
        <w:jc w:val="both"/>
        <w:ind w:left="480" w:hanging="476"/>
        <w:spacing w:after="0" w:line="275"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is as of December 31, 2023 and is based on a Schedule 13G filed with the SEC on January 29, 2024 by BlackRock, Inc. The Schedule 13G reports sole voting power for 657,203 shares of common stock, shared voting power for no shares of common stock, sole dispositive power for 671,848 shares of common stock and shared dispositive power for no shares of common stock.</w:t>
      </w:r>
    </w:p>
    <w:p>
      <w:pPr>
        <w:spacing w:after="0" w:line="163" w:lineRule="exact"/>
        <w:rPr>
          <w:rFonts w:ascii="Times New Roman" w:cs="Times New Roman" w:eastAsia="Times New Roman" w:hAnsi="Times New Roman"/>
          <w:sz w:val="17"/>
          <w:szCs w:val="17"/>
          <w:color w:val="auto"/>
        </w:rPr>
      </w:pPr>
    </w:p>
    <w:p>
      <w:pPr>
        <w:ind w:left="480" w:hanging="476"/>
        <w:spacing w:after="0" w:line="295"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19,950 shares held in Uniform Transfers to Minors Act accounts, over which Mr. Gaut and his spouse maintain joint ownership for the benefit of their grandchildren.</w:t>
      </w:r>
    </w:p>
    <w:p>
      <w:pPr>
        <w:spacing w:after="0" w:line="146" w:lineRule="exact"/>
        <w:rPr>
          <w:rFonts w:ascii="Times New Roman" w:cs="Times New Roman" w:eastAsia="Times New Roman" w:hAnsi="Times New Roman"/>
          <w:sz w:val="17"/>
          <w:szCs w:val="17"/>
          <w:color w:val="auto"/>
        </w:rPr>
      </w:pPr>
    </w:p>
    <w:p>
      <w:pPr>
        <w:ind w:left="460" w:hanging="456"/>
        <w:spacing w:after="0"/>
        <w:tabs>
          <w:tab w:leader="none" w:pos="4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900 shares of common stock beneficially owned by Ms. Angelle’s spouse.</w:t>
      </w:r>
    </w:p>
    <w:p>
      <w:pPr>
        <w:spacing w:after="0" w:line="222" w:lineRule="exact"/>
        <w:rPr>
          <w:rFonts w:ascii="Times New Roman" w:cs="Times New Roman" w:eastAsia="Times New Roman" w:hAnsi="Times New Roman"/>
          <w:sz w:val="17"/>
          <w:szCs w:val="17"/>
          <w:color w:val="auto"/>
        </w:rPr>
      </w:pPr>
    </w:p>
    <w:p>
      <w:pPr>
        <w:ind w:left="480" w:hanging="476"/>
        <w:spacing w:after="0" w:line="295" w:lineRule="auto"/>
        <w:tabs>
          <w:tab w:leader="none" w:pos="4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50,900 shares held in trust for the benefit of Mr. Carrig’s children. Mr. Carrig serves as trustee of the trust and disclaims beneficial ownership of the shares held by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PROPOSAL 1: ELECTION OF DIRECTORS</w:t>
      </w:r>
    </w:p>
    <w:p>
      <w:pPr>
        <w:spacing w:after="0" w:line="98" w:lineRule="exact"/>
        <w:rPr>
          <w:sz w:val="20"/>
          <w:szCs w:val="20"/>
          <w:color w:val="auto"/>
        </w:rPr>
      </w:pPr>
    </w:p>
    <w:p>
      <w:pPr>
        <w:jc w:val="both"/>
        <w:ind w:firstLine="470"/>
        <w:spacing w:after="0" w:line="242" w:lineRule="auto"/>
        <w:rPr>
          <w:sz w:val="20"/>
          <w:szCs w:val="20"/>
          <w:color w:val="auto"/>
        </w:rPr>
      </w:pPr>
      <w:r>
        <w:rPr>
          <w:rFonts w:ascii="Times New Roman" w:cs="Times New Roman" w:eastAsia="Times New Roman" w:hAnsi="Times New Roman"/>
          <w:sz w:val="17"/>
          <w:szCs w:val="17"/>
          <w:color w:val="auto"/>
        </w:rPr>
        <w:t>The board of directors comprises eight members. These eight members are divided into three classes with three members in Class I, three members in Class II and two members in Class III. Mr. McShane, a Class III director, was last elected by stockholders at the 2021 Annual Meeting of Stockholders, and his term will expire at the 2024 annual meeting. Mr. Rowsey, also a Class III director, was appointed to the board of directors in November 2021, and his term will also expire at the 2024 annual meeting. He was appointed by the board of directors, which identified and recommended him as a director, in connection with its refreshment efforts. Messrs. Gaut and Raspino, each a Class I director, were last elected by stockholders at the 2022 Annual Meeting of Stockholders, and their term will expire at the annual meeting of stockholders to be held in 2025. Ms. Beyer, also a Class I director, was appointed to the board of directors in December 2023, and her term will expire at the annual meeting of stockholders to be held in 2025. Ms. Angelle and Messrs. Carrig and Lux, each a Class II director, were last elected by stockholders at the 2023 Annual Meeting of Stockholders, and their term will expire at the annual meeting of stockholders to be held in 2026. Our board of directors believes that the current number of directors is appropriate for the Company at this time, taking into consideration the Company’s size and the broad diversity of skill sets of our directors.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board of directors, upon the recommendation of the Nominating, Governance and Sustainability Committee (the “NG&amp;S Committee”), has nominated for submission to the stockholders Messrs. McShane and Rowsey as Class III directors for a term of three years, each to serve until the annual meeting of stockholders in 2027 or until his successor is elected and qualified.</w:t>
      </w:r>
    </w:p>
    <w:p>
      <w:pPr>
        <w:spacing w:after="0" w:line="190"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If any of the nominees becomes unavailable for any reason, which is not anticipated, the board of directors, in its discretion, may designate a substitute nominee. If you have completed your proxy in favor of such unavailable nominee, your vote will be cast for the substitute nominee. Our board of directors has determined that Messrs. McShane and Rowsey are “independent” as that term is defined by the applicable NYSE listing standards.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If a quorum is present at the annual meeting, the two nominees receiving the greatest number of votes cast “FOR” will be elected as directors.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board of directors unanimously recommends a vote “FOR ALL NOMINEES” of the aforementioned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DIRECTOR QUALIFICATIONS</w:t>
      </w:r>
    </w:p>
    <w:p>
      <w:pPr>
        <w:spacing w:after="0" w:line="241" w:lineRule="exact"/>
        <w:rPr>
          <w:sz w:val="20"/>
          <w:szCs w:val="20"/>
          <w:color w:val="auto"/>
        </w:rPr>
      </w:pPr>
    </w:p>
    <w:p>
      <w:pPr>
        <w:ind w:right="20" w:firstLine="470"/>
        <w:spacing w:after="0" w:line="295" w:lineRule="auto"/>
        <w:rPr>
          <w:sz w:val="20"/>
          <w:szCs w:val="20"/>
          <w:color w:val="auto"/>
        </w:rPr>
      </w:pPr>
      <w:r>
        <w:rPr>
          <w:rFonts w:ascii="Times New Roman" w:cs="Times New Roman" w:eastAsia="Times New Roman" w:hAnsi="Times New Roman"/>
          <w:sz w:val="17"/>
          <w:szCs w:val="17"/>
          <w:color w:val="auto"/>
        </w:rPr>
        <w:t>Each of our directors brings a unique background and skill set to our board of directors, creating a diverse group of leaders with a breadth of experience in a variety of areas, including leadership, and financial, industry and operations expertise.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780" w:type="dxa"/>
            <w:vAlign w:val="bottom"/>
            <w:tcBorders>
              <w:top w:val="single" w:sz="8" w:color="auto"/>
              <w:left w:val="single" w:sz="8" w:color="auto"/>
            </w:tcBorders>
            <w:shd w:val="clear" w:color="auto" w:fill="051E68"/>
          </w:tcPr>
          <w:p>
            <w:pPr>
              <w:ind w:left="700"/>
              <w:spacing w:after="0"/>
              <w:rPr>
                <w:sz w:val="20"/>
                <w:szCs w:val="20"/>
                <w:color w:val="auto"/>
              </w:rPr>
            </w:pPr>
            <w:r>
              <w:rPr>
                <w:rFonts w:ascii="Times New Roman" w:cs="Times New Roman" w:eastAsia="Times New Roman" w:hAnsi="Times New Roman"/>
                <w:sz w:val="17"/>
                <w:szCs w:val="17"/>
                <w:b w:val="1"/>
                <w:bCs w:val="1"/>
                <w:color w:val="FFFFFF"/>
              </w:rPr>
              <w:t>Skill / Qualification</w:t>
            </w:r>
          </w:p>
        </w:tc>
        <w:tc>
          <w:tcPr>
            <w:tcW w:w="8480" w:type="dxa"/>
            <w:vAlign w:val="bottom"/>
            <w:tcBorders>
              <w:top w:val="single" w:sz="8" w:color="auto"/>
              <w:right w:val="single" w:sz="8" w:color="auto"/>
            </w:tcBorders>
            <w:shd w:val="clear" w:color="auto" w:fill="051E68"/>
          </w:tcPr>
          <w:p>
            <w:pPr>
              <w:ind w:left="3820"/>
              <w:spacing w:after="0"/>
              <w:rPr>
                <w:sz w:val="20"/>
                <w:szCs w:val="20"/>
                <w:color w:val="auto"/>
              </w:rPr>
            </w:pPr>
            <w:r>
              <w:rPr>
                <w:rFonts w:ascii="Times New Roman" w:cs="Times New Roman" w:eastAsia="Times New Roman" w:hAnsi="Times New Roman"/>
                <w:sz w:val="17"/>
                <w:szCs w:val="17"/>
                <w:b w:val="1"/>
                <w:bCs w:val="1"/>
                <w:color w:val="FFFFFF"/>
              </w:rPr>
              <w:t>Importance</w:t>
            </w: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Demonstrated Leadership</w:t>
            </w:r>
          </w:p>
        </w:tc>
        <w:tc>
          <w:tcPr>
            <w:tcW w:w="8480" w:type="dxa"/>
            <w:vAlign w:val="bottom"/>
            <w:tcBorders>
              <w:right w:val="single" w:sz="8" w:color="auto"/>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Directors with prior experience holding key leadership positions provide us with unique insights. In addition,</w:t>
            </w:r>
          </w:p>
        </w:tc>
      </w:tr>
      <w:tr>
        <w:trPr>
          <w:trHeight w:val="175"/>
        </w:trPr>
        <w:tc>
          <w:tcPr>
            <w:tcW w:w="2780" w:type="dxa"/>
            <w:vAlign w:val="bottom"/>
            <w:tcBorders>
              <w:left w:val="single" w:sz="8" w:color="auto"/>
            </w:tcBorders>
            <w:shd w:val="clear" w:color="auto" w:fill="CCEEFF"/>
          </w:tcPr>
          <w:p>
            <w:pPr>
              <w:ind w:left="120"/>
              <w:spacing w:after="0" w:line="175" w:lineRule="exact"/>
              <w:rPr>
                <w:sz w:val="20"/>
                <w:szCs w:val="20"/>
                <w:color w:val="auto"/>
              </w:rPr>
            </w:pPr>
            <w:r>
              <w:rPr>
                <w:rFonts w:ascii="Times New Roman" w:cs="Times New Roman" w:eastAsia="Times New Roman" w:hAnsi="Times New Roman"/>
                <w:sz w:val="17"/>
                <w:szCs w:val="17"/>
                <w:color w:val="auto"/>
              </w:rPr>
              <w:t>- CEO, CFO, COO</w:t>
            </w:r>
          </w:p>
        </w:tc>
        <w:tc>
          <w:tcPr>
            <w:tcW w:w="8480" w:type="dxa"/>
            <w:vAlign w:val="bottom"/>
            <w:tcBorders>
              <w:right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7"/>
                <w:szCs w:val="17"/>
                <w:color w:val="auto"/>
              </w:rPr>
              <w:t>experience serving on other public company boards of directors is valuable. These people also generally possess</w:t>
            </w:r>
          </w:p>
        </w:tc>
      </w:tr>
      <w:tr>
        <w:trPr>
          <w:trHeight w:val="170"/>
        </w:trPr>
        <w:tc>
          <w:tcPr>
            <w:tcW w:w="2780" w:type="dxa"/>
            <w:vAlign w:val="bottom"/>
            <w:tcBorders>
              <w:left w:val="single" w:sz="8" w:color="auto"/>
            </w:tcBorders>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auto"/>
              </w:rPr>
              <w:t>- Public Company Board</w:t>
            </w:r>
          </w:p>
        </w:tc>
        <w:tc>
          <w:tcPr>
            <w:tcW w:w="8480" w:type="dxa"/>
            <w:vAlign w:val="bottom"/>
            <w:tcBorders>
              <w:right w:val="single" w:sz="8" w:color="auto"/>
            </w:tcBorders>
            <w:shd w:val="clear" w:color="auto" w:fill="CCEEFF"/>
          </w:tcPr>
          <w:p>
            <w:pPr>
              <w:ind w:left="60"/>
              <w:spacing w:after="0" w:line="170" w:lineRule="exact"/>
              <w:rPr>
                <w:sz w:val="20"/>
                <w:szCs w:val="20"/>
                <w:color w:val="auto"/>
              </w:rPr>
            </w:pPr>
            <w:r>
              <w:rPr>
                <w:rFonts w:ascii="Times New Roman" w:cs="Times New Roman" w:eastAsia="Times New Roman" w:hAnsi="Times New Roman"/>
                <w:sz w:val="17"/>
                <w:szCs w:val="17"/>
                <w:color w:val="auto"/>
              </w:rPr>
              <w:t>leadership qualities and the ability to develop those attributes in others. Their experience developing talent and solving</w:t>
            </w:r>
          </w:p>
        </w:tc>
      </w:tr>
      <w:tr>
        <w:trPr>
          <w:trHeight w:val="222"/>
        </w:trPr>
        <w:tc>
          <w:tcPr>
            <w:tcW w:w="2780" w:type="dxa"/>
            <w:vAlign w:val="bottom"/>
            <w:tcBorders>
              <w:left w:val="single" w:sz="8" w:color="auto"/>
            </w:tcBorders>
            <w:shd w:val="clear" w:color="auto" w:fill="CCEEFF"/>
          </w:tcPr>
          <w:p>
            <w:pPr>
              <w:spacing w:after="0"/>
              <w:rPr>
                <w:sz w:val="19"/>
                <w:szCs w:val="19"/>
                <w:color w:val="auto"/>
              </w:rPr>
            </w:pPr>
          </w:p>
        </w:tc>
        <w:tc>
          <w:tcPr>
            <w:tcW w:w="84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problems in large, complex organizations makes them a valuable asset to our board of directors.</w:t>
            </w:r>
          </w:p>
        </w:tc>
      </w:tr>
      <w:tr>
        <w:trPr>
          <w:trHeight w:val="177"/>
        </w:trPr>
        <w:tc>
          <w:tcPr>
            <w:tcW w:w="2780" w:type="dxa"/>
            <w:vAlign w:val="bottom"/>
            <w:tcBorders>
              <w:left w:val="single" w:sz="8" w:color="auto"/>
            </w:tcBorders>
          </w:tcPr>
          <w:p>
            <w:pPr>
              <w:ind w:left="120"/>
              <w:spacing w:after="0" w:line="177" w:lineRule="exact"/>
              <w:rPr>
                <w:sz w:val="20"/>
                <w:szCs w:val="20"/>
                <w:color w:val="auto"/>
              </w:rPr>
            </w:pPr>
            <w:r>
              <w:rPr>
                <w:rFonts w:ascii="Times New Roman" w:cs="Times New Roman" w:eastAsia="Times New Roman" w:hAnsi="Times New Roman"/>
                <w:sz w:val="17"/>
                <w:szCs w:val="17"/>
                <w:color w:val="auto"/>
              </w:rPr>
              <w:t>Financial</w:t>
            </w:r>
          </w:p>
        </w:tc>
        <w:tc>
          <w:tcPr>
            <w:tcW w:w="84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Accurate financial reporting and robust auditing are critical to maintain the trust of our stockholders. Five of our</w:t>
            </w:r>
          </w:p>
        </w:tc>
      </w:tr>
      <w:tr>
        <w:trPr>
          <w:trHeight w:val="175"/>
        </w:trPr>
        <w:tc>
          <w:tcPr>
            <w:tcW w:w="2780" w:type="dxa"/>
            <w:vAlign w:val="bottom"/>
            <w:tcBorders>
              <w:left w:val="single" w:sz="8" w:color="auto"/>
            </w:tcBorders>
          </w:tcPr>
          <w:p>
            <w:pPr>
              <w:ind w:left="120"/>
              <w:spacing w:after="0" w:line="175" w:lineRule="exact"/>
              <w:rPr>
                <w:sz w:val="20"/>
                <w:szCs w:val="20"/>
                <w:color w:val="auto"/>
              </w:rPr>
            </w:pPr>
            <w:r>
              <w:rPr>
                <w:rFonts w:ascii="Times New Roman" w:cs="Times New Roman" w:eastAsia="Times New Roman" w:hAnsi="Times New Roman"/>
                <w:sz w:val="17"/>
                <w:szCs w:val="17"/>
                <w:color w:val="auto"/>
              </w:rPr>
              <w:t>- Capital Markets</w:t>
            </w:r>
          </w:p>
        </w:tc>
        <w:tc>
          <w:tcPr>
            <w:tcW w:w="848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7"/>
                <w:szCs w:val="17"/>
                <w:color w:val="auto"/>
              </w:rPr>
              <w:t>directors qualify as audit committee financial experts, if so designated, and all of our directors are financially literate.</w:t>
            </w:r>
          </w:p>
        </w:tc>
      </w:tr>
      <w:tr>
        <w:trPr>
          <w:trHeight w:val="170"/>
        </w:trPr>
        <w:tc>
          <w:tcPr>
            <w:tcW w:w="2780" w:type="dxa"/>
            <w:vAlign w:val="bottom"/>
            <w:tcBorders>
              <w:left w:val="single" w:sz="8" w:color="auto"/>
            </w:tcBorders>
          </w:tcPr>
          <w:p>
            <w:pPr>
              <w:ind w:left="120"/>
              <w:spacing w:after="0" w:line="170" w:lineRule="exact"/>
              <w:rPr>
                <w:sz w:val="20"/>
                <w:szCs w:val="20"/>
                <w:color w:val="auto"/>
              </w:rPr>
            </w:pPr>
            <w:r>
              <w:rPr>
                <w:rFonts w:ascii="Times New Roman" w:cs="Times New Roman" w:eastAsia="Times New Roman" w:hAnsi="Times New Roman"/>
                <w:sz w:val="17"/>
                <w:szCs w:val="17"/>
                <w:color w:val="auto"/>
              </w:rPr>
              <w:t>- Mergers &amp; Acquisitions</w:t>
            </w:r>
          </w:p>
        </w:tc>
        <w:tc>
          <w:tcPr>
            <w:tcW w:w="8480" w:type="dxa"/>
            <w:vAlign w:val="bottom"/>
            <w:tcBorders>
              <w:right w:val="single" w:sz="8" w:color="auto"/>
            </w:tcBorders>
          </w:tcPr>
          <w:p>
            <w:pPr>
              <w:spacing w:after="0"/>
              <w:rPr>
                <w:sz w:val="14"/>
                <w:szCs w:val="14"/>
                <w:color w:val="auto"/>
              </w:rPr>
            </w:pPr>
          </w:p>
        </w:tc>
      </w:tr>
      <w:tr>
        <w:trPr>
          <w:trHeight w:val="222"/>
        </w:trPr>
        <w:tc>
          <w:tcPr>
            <w:tcW w:w="2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Audit &amp; SEC Reporting</w:t>
            </w:r>
          </w:p>
        </w:tc>
        <w:tc>
          <w:tcPr>
            <w:tcW w:w="8480" w:type="dxa"/>
            <w:vAlign w:val="bottom"/>
            <w:tcBorders>
              <w:right w:val="single" w:sz="8" w:color="auto"/>
            </w:tcBorders>
          </w:tcPr>
          <w:p>
            <w:pPr>
              <w:spacing w:after="0"/>
              <w:rPr>
                <w:sz w:val="19"/>
                <w:szCs w:val="19"/>
                <w:color w:val="auto"/>
              </w:rPr>
            </w:pP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Industry Experience</w:t>
            </w:r>
          </w:p>
        </w:tc>
        <w:tc>
          <w:tcPr>
            <w:tcW w:w="8480" w:type="dxa"/>
            <w:vAlign w:val="bottom"/>
            <w:tcBorders>
              <w:right w:val="single" w:sz="8" w:color="auto"/>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Diverse industry experience equips board members with an understanding of the risks and opportunities associated with</w:t>
            </w:r>
          </w:p>
        </w:tc>
      </w:tr>
      <w:tr>
        <w:trPr>
          <w:trHeight w:val="175"/>
        </w:trPr>
        <w:tc>
          <w:tcPr>
            <w:tcW w:w="2780" w:type="dxa"/>
            <w:vAlign w:val="bottom"/>
            <w:tcBorders>
              <w:left w:val="single" w:sz="8" w:color="auto"/>
            </w:tcBorders>
            <w:shd w:val="clear" w:color="auto" w:fill="CCEEFF"/>
          </w:tcPr>
          <w:p>
            <w:pPr>
              <w:ind w:left="120"/>
              <w:spacing w:after="0" w:line="175" w:lineRule="exact"/>
              <w:rPr>
                <w:sz w:val="20"/>
                <w:szCs w:val="20"/>
                <w:color w:val="auto"/>
              </w:rPr>
            </w:pPr>
            <w:r>
              <w:rPr>
                <w:rFonts w:ascii="Times New Roman" w:cs="Times New Roman" w:eastAsia="Times New Roman" w:hAnsi="Times New Roman"/>
                <w:sz w:val="17"/>
                <w:szCs w:val="17"/>
                <w:color w:val="auto"/>
              </w:rPr>
              <w:t>- Up-, Mid-, &amp; Downstream</w:t>
            </w:r>
          </w:p>
        </w:tc>
        <w:tc>
          <w:tcPr>
            <w:tcW w:w="8480" w:type="dxa"/>
            <w:vAlign w:val="bottom"/>
            <w:tcBorders>
              <w:right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7"/>
                <w:szCs w:val="17"/>
                <w:color w:val="auto"/>
              </w:rPr>
              <w:t>different market factors affecting our business, and enhances their knowledge of regulations and key industry players</w:t>
            </w:r>
          </w:p>
        </w:tc>
      </w:tr>
      <w:tr>
        <w:trPr>
          <w:trHeight w:val="170"/>
        </w:trPr>
        <w:tc>
          <w:tcPr>
            <w:tcW w:w="2780" w:type="dxa"/>
            <w:vAlign w:val="bottom"/>
            <w:tcBorders>
              <w:left w:val="single" w:sz="8" w:color="auto"/>
            </w:tcBorders>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auto"/>
              </w:rPr>
              <w:t>- Services Company</w:t>
            </w:r>
          </w:p>
        </w:tc>
        <w:tc>
          <w:tcPr>
            <w:tcW w:w="8480" w:type="dxa"/>
            <w:vAlign w:val="bottom"/>
            <w:tcBorders>
              <w:right w:val="single" w:sz="8" w:color="auto"/>
            </w:tcBorders>
            <w:shd w:val="clear" w:color="auto" w:fill="CCEEFF"/>
          </w:tcPr>
          <w:p>
            <w:pPr>
              <w:ind w:left="60"/>
              <w:spacing w:after="0" w:line="170" w:lineRule="exact"/>
              <w:rPr>
                <w:sz w:val="20"/>
                <w:szCs w:val="20"/>
                <w:color w:val="auto"/>
              </w:rPr>
            </w:pPr>
            <w:r>
              <w:rPr>
                <w:rFonts w:ascii="Times New Roman" w:cs="Times New Roman" w:eastAsia="Times New Roman" w:hAnsi="Times New Roman"/>
                <w:sz w:val="17"/>
                <w:szCs w:val="17"/>
                <w:color w:val="auto"/>
              </w:rPr>
              <w:t>we must consider. In addition, relevant industry experience improves our business strategy as we navigate complex</w:t>
            </w:r>
          </w:p>
        </w:tc>
      </w:tr>
      <w:tr>
        <w:trPr>
          <w:trHeight w:val="222"/>
        </w:trPr>
        <w:tc>
          <w:tcPr>
            <w:tcW w:w="2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Energy Transition</w:t>
            </w:r>
          </w:p>
        </w:tc>
        <w:tc>
          <w:tcPr>
            <w:tcW w:w="84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market conditions.</w:t>
            </w:r>
          </w:p>
        </w:tc>
      </w:tr>
      <w:tr>
        <w:trPr>
          <w:trHeight w:val="177"/>
        </w:trPr>
        <w:tc>
          <w:tcPr>
            <w:tcW w:w="2780" w:type="dxa"/>
            <w:vAlign w:val="bottom"/>
            <w:tcBorders>
              <w:left w:val="single" w:sz="8" w:color="auto"/>
            </w:tcBorders>
          </w:tcPr>
          <w:p>
            <w:pPr>
              <w:ind w:left="120"/>
              <w:spacing w:after="0" w:line="177" w:lineRule="exact"/>
              <w:rPr>
                <w:sz w:val="20"/>
                <w:szCs w:val="20"/>
                <w:color w:val="auto"/>
              </w:rPr>
            </w:pPr>
            <w:r>
              <w:rPr>
                <w:rFonts w:ascii="Times New Roman" w:cs="Times New Roman" w:eastAsia="Times New Roman" w:hAnsi="Times New Roman"/>
                <w:sz w:val="17"/>
                <w:szCs w:val="17"/>
                <w:color w:val="auto"/>
              </w:rPr>
              <w:t>Operations</w:t>
            </w:r>
          </w:p>
        </w:tc>
        <w:tc>
          <w:tcPr>
            <w:tcW w:w="84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Experience navigating the unique challenges faced by a manufacturing company is particularly beneficial to develop</w:t>
            </w:r>
          </w:p>
        </w:tc>
      </w:tr>
      <w:tr>
        <w:trPr>
          <w:trHeight w:val="175"/>
        </w:trPr>
        <w:tc>
          <w:tcPr>
            <w:tcW w:w="2780" w:type="dxa"/>
            <w:vAlign w:val="bottom"/>
            <w:tcBorders>
              <w:left w:val="single" w:sz="8" w:color="auto"/>
            </w:tcBorders>
          </w:tcPr>
          <w:p>
            <w:pPr>
              <w:ind w:left="120"/>
              <w:spacing w:after="0" w:line="175" w:lineRule="exact"/>
              <w:rPr>
                <w:sz w:val="20"/>
                <w:szCs w:val="20"/>
                <w:color w:val="auto"/>
              </w:rPr>
            </w:pPr>
            <w:r>
              <w:rPr>
                <w:rFonts w:ascii="Times New Roman" w:cs="Times New Roman" w:eastAsia="Times New Roman" w:hAnsi="Times New Roman"/>
                <w:sz w:val="17"/>
                <w:szCs w:val="17"/>
                <w:color w:val="auto"/>
              </w:rPr>
              <w:t>- Manufacturing</w:t>
            </w:r>
          </w:p>
        </w:tc>
        <w:tc>
          <w:tcPr>
            <w:tcW w:w="848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7"/>
                <w:szCs w:val="17"/>
                <w:color w:val="auto"/>
              </w:rPr>
              <w:t>and navigate the Company’s strategic course. In addition, having a domestic and international perspective assists us</w:t>
            </w:r>
          </w:p>
        </w:tc>
      </w:tr>
      <w:tr>
        <w:trPr>
          <w:trHeight w:val="170"/>
        </w:trPr>
        <w:tc>
          <w:tcPr>
            <w:tcW w:w="2780" w:type="dxa"/>
            <w:vAlign w:val="bottom"/>
            <w:tcBorders>
              <w:left w:val="single" w:sz="8" w:color="auto"/>
            </w:tcBorders>
          </w:tcPr>
          <w:p>
            <w:pPr>
              <w:ind w:left="120"/>
              <w:spacing w:after="0" w:line="170" w:lineRule="exact"/>
              <w:rPr>
                <w:sz w:val="20"/>
                <w:szCs w:val="20"/>
                <w:color w:val="auto"/>
              </w:rPr>
            </w:pPr>
            <w:r>
              <w:rPr>
                <w:rFonts w:ascii="Times New Roman" w:cs="Times New Roman" w:eastAsia="Times New Roman" w:hAnsi="Times New Roman"/>
                <w:sz w:val="17"/>
                <w:szCs w:val="17"/>
                <w:color w:val="auto"/>
              </w:rPr>
              <w:t>- International - Information Security</w:t>
            </w:r>
          </w:p>
        </w:tc>
        <w:tc>
          <w:tcPr>
            <w:tcW w:w="848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7"/>
                <w:szCs w:val="17"/>
                <w:color w:val="auto"/>
              </w:rPr>
              <w:t>with the global nature of our business. Experience, knowledge, certifications, skills or other background in information</w:t>
            </w:r>
          </w:p>
        </w:tc>
      </w:tr>
      <w:tr>
        <w:trPr>
          <w:trHeight w:val="222"/>
        </w:trPr>
        <w:tc>
          <w:tcPr>
            <w:tcW w:w="2780" w:type="dxa"/>
            <w:vAlign w:val="bottom"/>
            <w:tcBorders>
              <w:left w:val="single" w:sz="8" w:color="auto"/>
            </w:tcBorders>
          </w:tcPr>
          <w:p>
            <w:pPr>
              <w:spacing w:after="0"/>
              <w:rPr>
                <w:sz w:val="19"/>
                <w:szCs w:val="19"/>
                <w:color w:val="auto"/>
              </w:rPr>
            </w:pP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security can be valuable in the board’s oversight of information security risks and policies.</w:t>
            </w: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Environmental and Social Risk</w:t>
            </w:r>
          </w:p>
        </w:tc>
        <w:tc>
          <w:tcPr>
            <w:tcW w:w="8480" w:type="dxa"/>
            <w:vAlign w:val="bottom"/>
            <w:tcBorders>
              <w:right w:val="single" w:sz="8" w:color="auto"/>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Work experience, certifications, degrees, knowledge, skills or other background in climate-related risks and diversity,</w:t>
            </w:r>
          </w:p>
        </w:tc>
      </w:tr>
      <w:tr>
        <w:trPr>
          <w:trHeight w:val="175"/>
        </w:trPr>
        <w:tc>
          <w:tcPr>
            <w:tcW w:w="2780" w:type="dxa"/>
            <w:vAlign w:val="bottom"/>
            <w:tcBorders>
              <w:left w:val="single" w:sz="8" w:color="auto"/>
            </w:tcBorders>
            <w:shd w:val="clear" w:color="auto" w:fill="CCEEFF"/>
          </w:tcPr>
          <w:p>
            <w:pPr>
              <w:ind w:left="120"/>
              <w:spacing w:after="0" w:line="175" w:lineRule="exact"/>
              <w:rPr>
                <w:sz w:val="20"/>
                <w:szCs w:val="20"/>
                <w:color w:val="auto"/>
              </w:rPr>
            </w:pPr>
            <w:r>
              <w:rPr>
                <w:rFonts w:ascii="Times New Roman" w:cs="Times New Roman" w:eastAsia="Times New Roman" w:hAnsi="Times New Roman"/>
                <w:sz w:val="17"/>
                <w:szCs w:val="17"/>
                <w:color w:val="auto"/>
              </w:rPr>
              <w:t>Oversight</w:t>
            </w:r>
          </w:p>
        </w:tc>
        <w:tc>
          <w:tcPr>
            <w:tcW w:w="8480" w:type="dxa"/>
            <w:vAlign w:val="bottom"/>
            <w:tcBorders>
              <w:right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7"/>
                <w:szCs w:val="17"/>
                <w:color w:val="auto"/>
              </w:rPr>
              <w:t>equity, and inclusion can be beneficial to the Company in the oversight of related policies and initiatives.</w:t>
            </w:r>
          </w:p>
        </w:tc>
      </w:tr>
      <w:tr>
        <w:trPr>
          <w:trHeight w:val="170"/>
        </w:trPr>
        <w:tc>
          <w:tcPr>
            <w:tcW w:w="2780" w:type="dxa"/>
            <w:vAlign w:val="bottom"/>
            <w:tcBorders>
              <w:left w:val="single" w:sz="8" w:color="auto"/>
            </w:tcBorders>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auto"/>
              </w:rPr>
              <w:t>- Climate Change</w:t>
            </w:r>
          </w:p>
        </w:tc>
        <w:tc>
          <w:tcPr>
            <w:tcW w:w="8480" w:type="dxa"/>
            <w:vAlign w:val="bottom"/>
            <w:tcBorders>
              <w:right w:val="single" w:sz="8" w:color="auto"/>
            </w:tcBorders>
            <w:shd w:val="clear" w:color="auto" w:fill="CCEEFF"/>
          </w:tcPr>
          <w:p>
            <w:pPr>
              <w:spacing w:after="0"/>
              <w:rPr>
                <w:sz w:val="14"/>
                <w:szCs w:val="14"/>
                <w:color w:val="auto"/>
              </w:rPr>
            </w:pPr>
          </w:p>
        </w:tc>
      </w:tr>
      <w:tr>
        <w:trPr>
          <w:trHeight w:val="222"/>
        </w:trPr>
        <w:tc>
          <w:tcPr>
            <w:tcW w:w="2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Diversity, Equity &amp; Inclusion</w:t>
            </w:r>
          </w:p>
        </w:tc>
        <w:tc>
          <w:tcPr>
            <w:tcW w:w="8480" w:type="dxa"/>
            <w:vAlign w:val="bottom"/>
            <w:tcBorders>
              <w:right w:val="single" w:sz="8" w:color="auto"/>
            </w:tcBorders>
            <w:shd w:val="clear" w:color="auto" w:fill="CCEEFF"/>
          </w:tcPr>
          <w:p>
            <w:pPr>
              <w:spacing w:after="0"/>
              <w:rPr>
                <w:sz w:val="19"/>
                <w:szCs w:val="19"/>
                <w:color w:val="auto"/>
              </w:rPr>
            </w:pPr>
          </w:p>
        </w:tc>
      </w:tr>
      <w:tr>
        <w:trPr>
          <w:trHeight w:val="177"/>
        </w:trPr>
        <w:tc>
          <w:tcPr>
            <w:tcW w:w="2780" w:type="dxa"/>
            <w:vAlign w:val="bottom"/>
            <w:tcBorders>
              <w:left w:val="single" w:sz="8" w:color="auto"/>
            </w:tcBorders>
          </w:tcPr>
          <w:p>
            <w:pPr>
              <w:ind w:left="120"/>
              <w:spacing w:after="0" w:line="177" w:lineRule="exact"/>
              <w:rPr>
                <w:sz w:val="20"/>
                <w:szCs w:val="20"/>
                <w:color w:val="auto"/>
              </w:rPr>
            </w:pPr>
            <w:r>
              <w:rPr>
                <w:rFonts w:ascii="Times New Roman" w:cs="Times New Roman" w:eastAsia="Times New Roman" w:hAnsi="Times New Roman"/>
                <w:sz w:val="17"/>
                <w:szCs w:val="17"/>
                <w:color w:val="auto"/>
              </w:rPr>
              <w:t>Demographics</w:t>
            </w:r>
          </w:p>
        </w:tc>
        <w:tc>
          <w:tcPr>
            <w:tcW w:w="84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Our focus on achieving gender and ethnic diversity on the board of directors exemplifies the Company’s commitment to</w:t>
            </w:r>
          </w:p>
        </w:tc>
      </w:tr>
      <w:tr>
        <w:trPr>
          <w:trHeight w:val="175"/>
        </w:trPr>
        <w:tc>
          <w:tcPr>
            <w:tcW w:w="2780" w:type="dxa"/>
            <w:vAlign w:val="bottom"/>
            <w:tcBorders>
              <w:left w:val="single" w:sz="8" w:color="auto"/>
            </w:tcBorders>
          </w:tcPr>
          <w:p>
            <w:pPr>
              <w:ind w:left="120"/>
              <w:spacing w:after="0" w:line="175" w:lineRule="exact"/>
              <w:rPr>
                <w:sz w:val="20"/>
                <w:szCs w:val="20"/>
                <w:color w:val="auto"/>
              </w:rPr>
            </w:pPr>
            <w:r>
              <w:rPr>
                <w:rFonts w:ascii="Times New Roman" w:cs="Times New Roman" w:eastAsia="Times New Roman" w:hAnsi="Times New Roman"/>
                <w:sz w:val="17"/>
                <w:szCs w:val="17"/>
                <w:color w:val="auto"/>
              </w:rPr>
              <w:t>- Gender</w:t>
            </w:r>
          </w:p>
        </w:tc>
        <w:tc>
          <w:tcPr>
            <w:tcW w:w="848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7"/>
                <w:szCs w:val="17"/>
                <w:color w:val="auto"/>
              </w:rPr>
              <w:t>diversity throughout the organization. The board of directors is committed to continuing to focus on diversity as board</w:t>
            </w:r>
          </w:p>
        </w:tc>
      </w:tr>
      <w:tr>
        <w:trPr>
          <w:trHeight w:val="222"/>
        </w:trPr>
        <w:tc>
          <w:tcPr>
            <w:tcW w:w="27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Racial / Ethnic</w:t>
            </w:r>
          </w:p>
        </w:tc>
        <w:tc>
          <w:tcPr>
            <w:tcW w:w="8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positions become available following a director’s retirement in accordance with the Corporate Governance Guidelines.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60"/>
          </w:cols>
          <w:pgMar w:left="320" w:top="137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Summarized below is our board of directors’ self-assessment of the number of its members who possess the above skills and competencies:</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671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1270"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911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1270"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Prior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903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1270" cy="90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911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1270"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Environmental and Social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671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1270"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5081270" cy="903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1270" cy="90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2544445" cy="140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444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78105</wp:posOffset>
            </wp:positionV>
            <wp:extent cx="5081270" cy="232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81270" cy="23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39"/>
          </w:cols>
          <w:pgMar w:left="320" w:top="1374" w:right="1440" w:bottom="1440" w:gutter="0" w:footer="0" w:header="0"/>
        </w:sectPr>
      </w:pPr>
    </w:p>
    <w:bookmarkStart w:id="16" w:name="page17"/>
    <w:bookmarkEnd w:id="16"/>
    <w:p>
      <w:pPr>
        <w:spacing w:after="0" w:line="295" w:lineRule="auto"/>
        <w:rPr>
          <w:sz w:val="20"/>
          <w:szCs w:val="20"/>
          <w:color w:val="auto"/>
        </w:rPr>
      </w:pPr>
      <w:r>
        <w:rPr>
          <w:rFonts w:ascii="Times New Roman" w:cs="Times New Roman" w:eastAsia="Times New Roman" w:hAnsi="Times New Roman"/>
          <w:sz w:val="17"/>
          <w:szCs w:val="17"/>
          <w:color w:val="auto"/>
        </w:rPr>
        <w:t>The following chart shows how each of the key skills and competencies highlighted above are currently represented on the board of directors, and is not intended to be an exhaustive list of skills for each director, but focuses on the primary skills and competencies each director brings.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980" w:type="dxa"/>
            <w:vAlign w:val="bottom"/>
            <w:tcBorders>
              <w:top w:val="single" w:sz="8" w:color="auto"/>
              <w:left w:val="single" w:sz="8" w:color="auto"/>
            </w:tcBorders>
            <w:shd w:val="clear" w:color="auto" w:fill="00548B"/>
          </w:tcPr>
          <w:p>
            <w:pPr>
              <w:spacing w:after="0"/>
              <w:rPr>
                <w:sz w:val="20"/>
                <w:szCs w:val="20"/>
                <w:color w:val="auto"/>
              </w:rPr>
            </w:pPr>
          </w:p>
        </w:tc>
        <w:tc>
          <w:tcPr>
            <w:tcW w:w="980" w:type="dxa"/>
            <w:vAlign w:val="bottom"/>
            <w:tcBorders>
              <w:top w:val="single" w:sz="8" w:color="auto"/>
            </w:tcBorders>
            <w:shd w:val="clear" w:color="auto" w:fill="00548B"/>
          </w:tcPr>
          <w:p>
            <w:pPr>
              <w:jc w:val="center"/>
              <w:ind w:right="42"/>
              <w:spacing w:after="0"/>
              <w:rPr>
                <w:sz w:val="20"/>
                <w:szCs w:val="20"/>
                <w:color w:val="auto"/>
              </w:rPr>
            </w:pPr>
            <w:r>
              <w:rPr>
                <w:rFonts w:ascii="Times New Roman" w:cs="Times New Roman" w:eastAsia="Times New Roman" w:hAnsi="Times New Roman"/>
                <w:sz w:val="16"/>
                <w:szCs w:val="16"/>
                <w:b w:val="1"/>
                <w:bCs w:val="1"/>
                <w:color w:val="FFFFFF"/>
                <w:w w:val="96"/>
              </w:rPr>
              <w:t>Angelle</w:t>
            </w:r>
          </w:p>
        </w:tc>
        <w:tc>
          <w:tcPr>
            <w:tcW w:w="98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Beyer</w:t>
            </w:r>
          </w:p>
        </w:tc>
        <w:tc>
          <w:tcPr>
            <w:tcW w:w="10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Carrig</w:t>
            </w:r>
          </w:p>
        </w:tc>
        <w:tc>
          <w:tcPr>
            <w:tcW w:w="108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McShane</w:t>
            </w:r>
          </w:p>
        </w:tc>
        <w:tc>
          <w:tcPr>
            <w:tcW w:w="10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Raspino</w:t>
            </w:r>
          </w:p>
        </w:tc>
        <w:tc>
          <w:tcPr>
            <w:tcW w:w="108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Rowsey</w:t>
            </w:r>
          </w:p>
        </w:tc>
        <w:tc>
          <w:tcPr>
            <w:tcW w:w="100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Gaut</w:t>
            </w:r>
          </w:p>
        </w:tc>
        <w:tc>
          <w:tcPr>
            <w:tcW w:w="1040" w:type="dxa"/>
            <w:vAlign w:val="bottom"/>
            <w:tcBorders>
              <w:top w:val="single" w:sz="8" w:color="auto"/>
              <w:right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Lux</w:t>
            </w: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Leadership</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CEO, CFO, COO</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Public Company Board</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Financial</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Capital Markets</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Mergers &amp; Acquisitions</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Audit &amp; SEC Reporting</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Prior Industry Experience</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Up-, Mid-, &amp; Downstream</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Services Company</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Energy Transition</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Operations</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Manufacturing</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Information Security</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Environmental and Social Risk Oversight</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Climate Change</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Diversity, Equity &amp; Inclusion</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Other</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Engineering / Technology</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vMerge w:val="restart"/>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Legal</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Innovation / Entrepreneurship</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Demographics</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Gender</w:t>
            </w: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89"/>
              </w:rPr>
              <w:t>F</w:t>
            </w: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F</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595959"/>
                <w:w w:val="98"/>
              </w:rPr>
              <w:t>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8"/>
              </w:rPr>
              <w:t>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595959"/>
                <w:w w:val="98"/>
              </w:rPr>
              <w:t>M</w:t>
            </w: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8"/>
              </w:rPr>
              <w:t>M</w:t>
            </w:r>
          </w:p>
        </w:tc>
        <w:tc>
          <w:tcPr>
            <w:tcW w:w="10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color w:val="auto"/>
                <w:w w:val="98"/>
              </w:rPr>
              <w:t>M</w:t>
            </w:r>
          </w:p>
        </w:tc>
        <w:tc>
          <w:tcPr>
            <w:tcW w:w="0" w:type="dxa"/>
            <w:vAlign w:val="bottom"/>
          </w:tcPr>
          <w:p>
            <w:pPr>
              <w:spacing w:after="0"/>
              <w:rPr>
                <w:sz w:val="1"/>
                <w:szCs w:val="1"/>
                <w:color w:val="auto"/>
              </w:rPr>
            </w:pPr>
          </w:p>
        </w:tc>
      </w:tr>
      <w:tr>
        <w:trPr>
          <w:trHeight w:val="240"/>
        </w:trPr>
        <w:tc>
          <w:tcPr>
            <w:tcW w:w="29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Racially/Ethnically Diverse</w:t>
            </w: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4" w:right="339" w:bottom="1440" w:gutter="0" w:footer="0" w:header="0"/>
        </w:sectPr>
      </w:pPr>
    </w:p>
    <w:bookmarkStart w:id="17" w:name="page18"/>
    <w:bookmarkEnd w:id="17"/>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OUR DIRECTORS</w:t>
      </w:r>
    </w:p>
    <w:p>
      <w:pPr>
        <w:spacing w:after="0" w:line="21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Set forth below are the names of, and certain information as of March 15, 2024 with respect to, the two nominees for election as Class III directors and the other current members of the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Nominees -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Michael McShane – Age: 69, Positions: Lead Independent Director; Compensation and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Mr. McShane was appointed as a FET director in September 2010 and currently serves as a member of the Compensation and Human Capital Committee and as our Lead Independent Director. He is currently Chairman of the Board of NCS Multistage, a public provider of various downhole completion tools and technologies, a position he has held since 2012. Mr. McShane formerly served as an Operating Partner to Advent International, an international private equity fund, a role he held from September 2009 through 2018. Mr. McShane was a director of Spectra Energy Corp, a natural gas infrastructure company, from April 2008 until February 2017; and served as a director of Enbridge, Inc., an energy infrastructure company, following the completion of Enbridge’s acquisition of Spectra Energy Corp in February 2017 until October 2018. He was also a director of Complete Production Services, Inc., a provider of specialized oil and gas completion and production services, from March 2007 until February 2012 and served as a director of Superior Energy Services, Inc., a provider of specialized oilfield services and equipment, from the completion of Superior Energy Services’ acquisition of Complete Production Services in February 2012 until February 2021. Mr. McShane also previously served as a director of Oasis Petroleum Inc., a public exploration and production company, from May 2010 until November 2020.</w:t>
      </w:r>
    </w:p>
    <w:p>
      <w:pPr>
        <w:spacing w:after="0" w:line="28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Mr. McShane served as a director, and President and Chief Executive Officer, of Grant Prideco, Inc., a manufacturer and supplier of oilfield drill pipe and other drill stem products, from June 2002 until April 2008, having also served as Chairman of the Board from May 2003 through April 2008. Prior to joining Grant Prideco, Mr. McShane was Senior Vice President — Finance and Chief Financial Officer and director of BJ Services Company, a provider of pressure pumping, cementing, stimulation and coiled tubing services for oil and gas operators, from 1990 to June 2002, and Vice President — Finance from 1987 to 1990 while BJ Services was a division of Baker Hughes Incorporated. Mr. McShane joined BJ Services in 1987 from Reed Tool Company, where he was employed for seven years in various financial management positions.</w:t>
      </w:r>
    </w:p>
    <w:p>
      <w:pPr>
        <w:spacing w:after="0" w:line="6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board of directors selected Mr. McShane because of his expansive knowledge of the oil and gas industry, as well as his relationships with chief executives and other senior management at oil and natural gas companies, and oilfield service companies throughout the world. Mr. McShane is financially literate and qualifies as an audit committee financial expert. He brings to the board of directors his experience as a senior leader and chief financial officer within the oilfield services industry, as well as his leadership as chairman and chief executive officer of a leading North American drill bit technology and drill pipe manufacturer. In addition, Mr. McShane’s service on the board of directors of other listed companies informs his ability to act as our Lead Independent Director. Mr. McShane also provides the board of directors with a producer perspective that is valuable in strategic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b w:val="1"/>
          <w:bCs w:val="1"/>
          <w:color w:val="auto"/>
        </w:rPr>
        <w:t>Paul E. Rowsey III – Age: 69, Positions: Compensation and Human Capital Committee, Member;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Mr. Rowsey was appointed as a FET director in November 2021 and currently serves as a member of the Audit Committee and the Compensation and Human Capital Committee. He is also the founder and Chairman of E2M Partners, LLC, a sponsor and manager of private real estate equity funds, a role he has held since November 2004. Mr. Rowsey is the former Executive Chairman of the Board of JLB Partners, a national developer, builder and manager of Class A multi-family assets in select markets in the United States. He previously served as Non-Executive Chairman of Valaris plc, a publicly traded offshore driller contractor, and its predecessor, Ensco plc. Mr. Rowsey was also formerly the President and Chief Executive Officer of Compatriot Capital from May 2011 to September 2017, when he retired, and a founder and the managing partner of E2M Partners, LLC. He brings a wealth of diversity, equity and inclusion experience to our board of directors as a result of his service on the Board of Trustees of a public school system, work with Cherokee Nation officials to improve educational opportunities for Native Americans, and direct work as a private company board member to address racial and gender initiatives. Mr. Rowsey is a graduate of Duke University and Southern Methodist University School of Law, and he is a citizen of the Cherokee Nation.</w:t>
      </w:r>
    </w:p>
    <w:p>
      <w:pPr>
        <w:spacing w:after="0" w:line="71"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board of directors selected Mr. Rowsey because of his extensive knowledge of the oil and gas industry; his expertise in financial, business and legal matters, including his experience as the President and Chief Executive Officer of Compatriot Capital, Inc.; his experience as the founder and the managing partner of E2M Partners; his extensive negotiating experience in complex business transactions; and his general business acumen.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 Christopher Gaut – Age: 67, Positions: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Mr. Gaut currently serves as non-executive Chairman of the Board. From February 2022 until December 2023, he served as Executive Chairman of the Board. Mr. Gaut previously served as our President and Chief Executive Officer from November 2018 until his retirement from those positions in February 2022, and as Chairman of the Board from December 2017. Prior to that, from May 2017 to December 2017, he served as Executive Chairman of the Board, and as Chief Executive Officer from May 2016 to May 2017. From August 2010 to May 2016, he served as President, Chief Executive Officer and Chairman of the Board, and as one of our directors since December 2006. He served as a consultant to SCF Partners from November 2009 to August 2010, and an industry advisor from May 2017 to November 2018. Mr. Gaut served at Halliburton Company, a leading diversified oilfield services company, as President of the Drilling and Evaluation Division and prior to that as Chief Financial Officer, from March 2003 through April 2009. From April 2009 through November 2009, Mr. Gaut was a private investor. Prior to joining Halliburton Company in 2003, Mr. Gaut was a Co-Chief Operating Officer of Ensco International, a provider of offshore contract drilling services. He also served as Ensco’s Chief Financial Officer from 1988 until 2003.</w:t>
      </w:r>
    </w:p>
    <w:p>
      <w:pPr>
        <w:spacing w:after="0" w:line="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Mr. Gaut is currently a member of the board of directors of EOG Resources, Inc., a public independent crude oil and natural gas company, and previously served as a director of Valaris plc, a provider of offshore contract drilling services, and Key Energy Services Inc., a well services provider.</w:t>
      </w:r>
    </w:p>
    <w:p>
      <w:pPr>
        <w:spacing w:after="0" w:line="4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board of directors selected Mr. Gaut because of his prior experience as our President and Chief Executive Officer; previous executive leadership roles with leading energy companies; operational and financial expertise in the oil and gas business; financial literacy and qualifications as an audit committee financial expert; knowledge of the demands and expectations of our customers; and service as a board member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1" w:right="339" w:bottom="1440" w:gutter="0" w:footer="0" w:header="0"/>
        </w:sectPr>
      </w:pPr>
    </w:p>
    <w:bookmarkStart w:id="19" w:name="page20"/>
    <w:bookmarkEnd w:id="19"/>
    <w:p>
      <w:pPr>
        <w:spacing w:after="0" w:line="39" w:lineRule="exact"/>
        <w:rPr>
          <w:sz w:val="20"/>
          <w:szCs w:val="20"/>
          <w:color w:val="auto"/>
        </w:rPr>
      </w:pPr>
    </w:p>
    <w:p>
      <w:pPr>
        <w:spacing w:after="0"/>
        <w:tabs>
          <w:tab w:leader="none" w:pos="700" w:val="left"/>
          <w:tab w:leader="none" w:pos="1100" w:val="left"/>
          <w:tab w:leader="none" w:pos="2100" w:val="left"/>
          <w:tab w:leader="none" w:pos="2540" w:val="left"/>
          <w:tab w:leader="none" w:pos="2860" w:val="left"/>
          <w:tab w:leader="none" w:pos="3480" w:val="left"/>
          <w:tab w:leader="none" w:pos="3960" w:val="left"/>
          <w:tab w:leader="none" w:pos="5040" w:val="left"/>
          <w:tab w:leader="none" w:pos="6540" w:val="left"/>
          <w:tab w:leader="none" w:pos="7080" w:val="left"/>
          <w:tab w:leader="none" w:pos="7980" w:val="left"/>
          <w:tab w:leader="none" w:pos="8840" w:val="left"/>
          <w:tab w:leader="none" w:pos="10100" w:val="left"/>
        </w:tabs>
        <w:rPr>
          <w:sz w:val="20"/>
          <w:szCs w:val="20"/>
          <w:color w:val="auto"/>
        </w:rPr>
      </w:pPr>
      <w:r>
        <w:rPr>
          <w:rFonts w:ascii="Times New Roman" w:cs="Times New Roman" w:eastAsia="Times New Roman" w:hAnsi="Times New Roman"/>
          <w:sz w:val="21"/>
          <w:szCs w:val="21"/>
          <w:b w:val="1"/>
          <w:bCs w:val="1"/>
          <w:color w:val="auto"/>
        </w:rPr>
        <w:t>Louis</w:t>
        <w:tab/>
        <w:t>A.</w:t>
        <w:tab/>
        <w:t>Raspino,</w:t>
        <w:tab/>
        <w:t>Jr.</w:t>
        <w:tab/>
        <w:t>–</w:t>
        <w:tab/>
        <w:t>Age:</w:t>
        <w:tab/>
        <w:t>71,</w:t>
        <w:tab/>
        <w:t>Positions:</w:t>
        <w:tab/>
        <w:t>Compensation</w:t>
        <w:tab/>
        <w:t>and</w:t>
        <w:tab/>
        <w:t>Human</w:t>
        <w:tab/>
        <w:t>Capital</w:t>
        <w:tab/>
        <w:t>Committee,</w:t>
      </w:r>
      <w:r>
        <w:rPr>
          <w:sz w:val="20"/>
          <w:szCs w:val="20"/>
          <w:color w:val="auto"/>
        </w:rPr>
        <w:tab/>
      </w:r>
      <w:r>
        <w:rPr>
          <w:rFonts w:ascii="Times New Roman" w:cs="Times New Roman" w:eastAsia="Times New Roman" w:hAnsi="Times New Roman"/>
          <w:sz w:val="20"/>
          <w:szCs w:val="20"/>
          <w:b w:val="1"/>
          <w:b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Mr. Raspino was elected as a FET director in January 2012 and currently serves as the Chairperson of the Compensation and Human Capital Committee. He also currently serves as a director, audit committee member, and compensation committee Chairperson of Tidewater Inc., a public owner and operator of offshore support vessels in the energy industry. In addition, he serves as a director and member of the compensation and audit committees of American Bureau of Shipping, a private company. He served as Chairman of Clarion Offshore Partners, LLC, a Blackstone affiliate, from October 2015 to October 2017. Mr. Raspino has been a private investor and consultant from June 2011 to the present. Mr. Raspino was named President, Chief Executive Officer and a director of Pride International, Inc., a contract drilling company, in June 2005 and served in that capacity until its acquisition by Ensco plc in May 2011. He joined Pride International in December 2003 as Executive Vice President and Chief Financial Officer. From July 2001 until December 2003, he served as Senior Vice President, Finance and Chief Financial Officer of Grant Prideco, Inc. From February 1999 until March 2001, he held various senior financial positions, including Vice President of Finance for Halliburton Company. From October 1997 until July 1998, he was a Senior Vice President at Burlington Resources, Inc. From 1978, until its merger with Burlington Resources in 1997, he held a variety of positions of increasing responsibility at Louisiana Land and Exploration Company, most recently as Senior Vice President, Finance and Administration and Chief Financial Officer. Mr. Raspino holds a certificate in cybersecurity.</w:t>
      </w:r>
    </w:p>
    <w:p>
      <w:pPr>
        <w:spacing w:after="0" w:line="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board of directors selected Mr. Raspino because of his significant experience as an executive officer of other energy companies; service as a member of other public company boards of directors; operational, strategic and financial expertise in the oil and gas business; and financial literacy and qualifications as an audit committee financial expert. In addition, in connection with his service as a senior executive officer, Mr. Raspino oversaw the implementation of programs designed to ensure equality and to develop a culture of inclusiveness.</w:t>
      </w:r>
    </w:p>
    <w:p>
      <w:pPr>
        <w:spacing w:after="0" w:line="200" w:lineRule="exact"/>
        <w:rPr>
          <w:sz w:val="20"/>
          <w:szCs w:val="20"/>
          <w:color w:val="auto"/>
        </w:rPr>
      </w:pPr>
    </w:p>
    <w:p>
      <w:pPr>
        <w:spacing w:after="0" w:line="203" w:lineRule="exact"/>
        <w:rPr>
          <w:sz w:val="20"/>
          <w:szCs w:val="20"/>
          <w:color w:val="auto"/>
        </w:rPr>
      </w:pPr>
    </w:p>
    <w:p>
      <w:pPr>
        <w:spacing w:after="0"/>
        <w:tabs>
          <w:tab w:leader="none" w:pos="740" w:val="left"/>
          <w:tab w:leader="none" w:pos="1180" w:val="left"/>
          <w:tab w:leader="none" w:pos="1920" w:val="left"/>
          <w:tab w:leader="none" w:pos="2260" w:val="left"/>
          <w:tab w:leader="none" w:pos="2920" w:val="left"/>
          <w:tab w:leader="none" w:pos="3400" w:val="left"/>
          <w:tab w:leader="none" w:pos="4500" w:val="left"/>
          <w:tab w:leader="none" w:pos="5840" w:val="left"/>
          <w:tab w:leader="none" w:pos="7160" w:val="left"/>
          <w:tab w:leader="none" w:pos="7720" w:val="left"/>
          <w:tab w:leader="none" w:pos="9180" w:val="left"/>
          <w:tab w:leader="none" w:pos="10460" w:val="left"/>
        </w:tabs>
        <w:rPr>
          <w:sz w:val="20"/>
          <w:szCs w:val="20"/>
          <w:color w:val="auto"/>
        </w:rPr>
      </w:pPr>
      <w:r>
        <w:rPr>
          <w:rFonts w:ascii="Times New Roman" w:cs="Times New Roman" w:eastAsia="Times New Roman" w:hAnsi="Times New Roman"/>
          <w:sz w:val="21"/>
          <w:szCs w:val="21"/>
          <w:b w:val="1"/>
          <w:bCs w:val="1"/>
          <w:color w:val="auto"/>
        </w:rPr>
        <w:t>Leslie</w:t>
        <w:tab/>
        <w:t>A.</w:t>
        <w:tab/>
        <w:t>Beyer</w:t>
        <w:tab/>
        <w:t>–</w:t>
        <w:tab/>
        <w:t>Age:</w:t>
        <w:tab/>
        <w:t>48,</w:t>
        <w:tab/>
        <w:t>Positions:</w:t>
        <w:tab/>
        <w:t>Nominating,</w:t>
        <w:tab/>
        <w:t>Governance</w:t>
        <w:tab/>
        <w:t>and</w:t>
        <w:tab/>
        <w:t>Sustainability</w:t>
        <w:tab/>
        <w:t>Committee,</w:t>
      </w:r>
      <w:r>
        <w:rPr>
          <w:sz w:val="20"/>
          <w:szCs w:val="20"/>
          <w:color w:val="auto"/>
        </w:rPr>
        <w:tab/>
      </w:r>
      <w:r>
        <w:rPr>
          <w:rFonts w:ascii="Times New Roman" w:cs="Times New Roman" w:eastAsia="Times New Roman" w:hAnsi="Times New Roman"/>
          <w:sz w:val="20"/>
          <w:szCs w:val="20"/>
          <w:b w:val="1"/>
          <w:b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Ms. Beyer was appointed as a FET director in December 2023 and currently serves as a member of the NG&amp;S Committee. She serves on the board of directors of Patterson-UTI Energy, a provider of drilling and completion services to oil and natural gas exploration and production companies in the U.S. and other select countries, a position she has held since September 2023. Ms. Beyer previously served as a member of the board of directors of NexTier Energy, an integrated completions provider, from February 2023 until its merger with Patterson-UTI in September 2023. From 2014 to 2023, she served as the Chief Executive Officer of the Energy Workforce &amp; Technology Council (the "EWTC"), the global energy technology and services association representing over 650,000 jobs in the energy workforce. She is a frequent speaker on issues facing the energy industry including the global energy market, regulatory environment and ESG best practices. Ms. Beyer has been an advocate for the energy services sector testifying before Congress and frequently appearing on national media outlets. She also serves on the Advisory Board of Veriten, an energy advisory firm, and is an Advisory Board member at the University of North Carolina Kenan-Flagler Business School Energy Department. In her early career, Ms. Beyer distinguished herself in Washington, D.C. serving in policy and public affairs roles in the U.S. Senate, Presidential campaigns, The White House Executive Office of the President and U.S. State Department. After government service, Ms. Beyer began a career in advocacy as Director, Member and Board Relations with the National Association of Manufacturers.</w:t>
      </w:r>
    </w:p>
    <w:p>
      <w:pPr>
        <w:spacing w:after="0" w:line="7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board of directors selected Ms. Beyer because of her knowledge of the energy services sector; significant public policy, government and energy advocacy experience; and service as a board member of other public companies. Ms. Beyer has an entrepreneurial mindset and is a recognized leader in diversity and new energy solutions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8" w:lineRule="exact"/>
        <w:rPr>
          <w:sz w:val="20"/>
          <w:szCs w:val="20"/>
          <w:color w:val="auto"/>
        </w:rPr>
      </w:pPr>
    </w:p>
    <w:p>
      <w:pPr>
        <w:ind w:right="900" w:firstLine="17"/>
        <w:spacing w:after="0" w:line="241" w:lineRule="auto"/>
        <w:rPr>
          <w:sz w:val="20"/>
          <w:szCs w:val="20"/>
          <w:color w:val="auto"/>
        </w:rPr>
      </w:pPr>
      <w:r>
        <w:rPr>
          <w:rFonts w:ascii="Times New Roman" w:cs="Times New Roman" w:eastAsia="Times New Roman" w:hAnsi="Times New Roman"/>
          <w:sz w:val="21"/>
          <w:szCs w:val="21"/>
          <w:b w:val="1"/>
          <w:bCs w:val="1"/>
          <w:color w:val="auto"/>
        </w:rPr>
        <w:t>Evelyn M. Angelle – Age: 56, Positions: Audit Committee Chairperson; Nominating, Governance and Sustainability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6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Ms. Angelle was appointed as a FET director in February 2011 and currently serves as the Chairperson of the Audit Committee and a member of the NG&amp;S Committee. Ms. Angelle also serves as Lead Independent Director, and a member of the board of directors and the audit committee of STEP Energy Services, Ltd., an oilfield services company providing specialized coiled tubing and hydraulic fracturing services. She also serves as a member of the Board of Managers and Chairperson of the audit committee of AMP Americas II Parent, LLC, the parent company of a privately-held renewable natural gas company. Ms. Angelle served as Executive Vice President and Chief Financial Officer of BJ Services, a provider of North American land pressure pumping services, from January 2017 to November 2017. From November 2017 to the present, Ms. Angelle has been a private investor and philanthropist. From January 2014 through January 2015, Ms. Angelle served as Senior Vice President – Supply Chain for Halliburton, responsible for global procurement, materials, logistics and manufacturing. From April 2003 to December 2013, Ms. Angelle served in various finance and accounting roles for Halliburton, including Senior Vice President and Chief Accounting Officer, and Vice President of Investor Relations.</w:t>
      </w:r>
    </w:p>
    <w:p>
      <w:pPr>
        <w:spacing w:after="0" w:line="7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Before joining Halliburton in 2003, Ms. Angelle worked for fifteen years in the audit department of Ernst &amp; Young LLP, where she specialized in serving large, multinational public companies and provided technical accounting and consultation services to clients and other professionals. She is a certified public accountant in Texas and a certified management accountant. She holds certificates in Directorship and Cyber-Risk Management from the National Association of Corporate Directors ("NACD").</w:t>
      </w:r>
    </w:p>
    <w:p>
      <w:pPr>
        <w:spacing w:after="0" w:line="6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board of directors selected Ms. Angelle because of her professional experience and her particular knowledge in financial, internal controls and public company disclosure compliance. In addition, she brings to the board of directors added judgment about supply chain, investor relations, the financial management of large oilfield service corporations and renewable energy. Furthermore, Ms. Angelle's significant experience championing diversity initiatives provides our board of directors with a valuable perspective on important human capital issues relevant to our Company. She is financially literate and considered by our board of directors to be an audit committee financial expert.</w:t>
      </w:r>
    </w:p>
    <w:p>
      <w:pPr>
        <w:spacing w:after="0" w:line="22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1"/>
          <w:szCs w:val="21"/>
          <w:b w:val="1"/>
          <w:bCs w:val="1"/>
          <w:color w:val="auto"/>
        </w:rPr>
        <w:t>John A. Carrig – Age: 72, Positions: Nominating, Governance and Sustainability Committee, Chairperson;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Mr. Carrig was appointed as a FET director in July 2011 and currently serves as the Chairperson of the NG&amp;S Committee and as a member of the Audit Committee. He retired from ConocoPhillips in March 2011, having most recently served as President and Chief Operating Officer since 2008, where he was responsible for global Exploration and Production, Refining and Marketing, Commercial, Project Development and Procurement and the Health, Safety and Environment functions. Mr. Carrig served as Executive Vice President, Finance, and Chief Financial Officer from 2002 to 2008. Prior to the merger with Conoco Inc. in 2002, Mr. Carrig was with Phillips Petroleum Company, where he was named Senior Vice President and Chief Financial Officer in 2001. In 2000, he joined Phillips’ management committee as Senior Vice President and Treasurer. From 1996 to 2000, he was Vice President and Treasurer. Mr. Carrig served as Treasurer in 1995 and Assistant Treasurer in 1994. He joined Phillips in 1978 as a tax attorney. He has been a private investor and engaged in charitable endeavors since his retirement from ConocoPhillips. Mr. Carrig served on the board of directors of WPX Energy, Inc., a public oil, natural gas and natural gas liquids producer, prior to its merger with Devon Energy in January 2021.</w:t>
      </w:r>
    </w:p>
    <w:p>
      <w:pPr>
        <w:spacing w:after="0" w:line="7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board of directors selected Mr. Carrig because of the length and breadth of his experience in the oil and gas industry, the perspective he brings as a result of his long service as an executive of a major public company with global reach and his strategic, financial and management acumen. In addition, Mr. Carrig brings valuable insight as a result of his long history as a customer for oilfield equipment and services companies. As a result of his significant professional experience and particular knowledge in finance, accounting, treasury and tax, he is financially literate and considered by our board of directors to be an 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Neal A. Lux – Age: 48, Positions: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Mr. Lux was appointed as President and Chief Executive Officer of FET and a member of our board of directors in February 2022. Mr. Lux previously served as the Company’s Executive Vice President and Chief Operating Officer from December 2020 to February 2022. From January 2009 to December 2020, Mr. Lux held various operations roles of increasing responsibility with the Company and its subsidiaries, including Executive Vice President – Operations; Senior Vice President - Completions; Managing Director – Global Tubing; and President – Global Tubing. He holds a B.S. in Industrial Engineering from Purdue University.</w:t>
      </w:r>
    </w:p>
    <w:p>
      <w:pPr>
        <w:spacing w:after="0" w:line="279"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board of directors selected Mr. Lux because of the length and breadth of his experience in the oil and gas industry, and the perspectives he brings as a result of his long service with the Company in a variety of leadership roles; operational and financial expertise in the oil and gas industry; and knowledge of the demands and expectations of our customers, employees and other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DIRECTOR COMPENSATION</w:t>
      </w:r>
    </w:p>
    <w:p>
      <w:pPr>
        <w:spacing w:after="0" w:line="163" w:lineRule="exact"/>
        <w:rPr>
          <w:sz w:val="20"/>
          <w:szCs w:val="20"/>
          <w:color w:val="auto"/>
        </w:rPr>
      </w:pPr>
    </w:p>
    <w:p>
      <w:pPr>
        <w:jc w:val="both"/>
        <w:ind w:right="20" w:firstLine="470"/>
        <w:spacing w:after="0" w:line="266" w:lineRule="auto"/>
        <w:rPr>
          <w:sz w:val="20"/>
          <w:szCs w:val="20"/>
          <w:color w:val="auto"/>
        </w:rPr>
      </w:pPr>
      <w:r>
        <w:rPr>
          <w:rFonts w:ascii="Times New Roman" w:cs="Times New Roman" w:eastAsia="Times New Roman" w:hAnsi="Times New Roman"/>
          <w:sz w:val="17"/>
          <w:szCs w:val="17"/>
          <w:color w:val="auto"/>
        </w:rPr>
        <w:t>The Compensation and Human Capital Committee periodically engages Meridian Compensation Partners, LLC (“Meridian”), its independent compensation consultant, to conduct a market-based director compensation study. In December 2022, the study prepared by Meridian indicated that total non-executive director compensation was positioned competitively with the applicable market median. After considering this and other factors, the Compensation and Human Capital Committee determined that it was appropriate not to recommend any changes to the level of non-employee director compensation for 2023. Accordingly, the 2023 non-employee director compensation program consisted of the following retainers: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220" w:type="dxa"/>
            <w:vAlign w:val="bottom"/>
            <w:tcBorders>
              <w:top w:val="single" w:sz="8" w:color="auto"/>
              <w:left w:val="single" w:sz="8" w:color="auto"/>
            </w:tcBorders>
            <w:shd w:val="clear" w:color="auto" w:fill="051E68"/>
          </w:tcPr>
          <w:p>
            <w:pPr>
              <w:spacing w:after="0"/>
              <w:rPr>
                <w:sz w:val="20"/>
                <w:szCs w:val="20"/>
                <w:color w:val="auto"/>
              </w:rPr>
            </w:pPr>
          </w:p>
        </w:tc>
        <w:tc>
          <w:tcPr>
            <w:tcW w:w="4040" w:type="dxa"/>
            <w:vAlign w:val="bottom"/>
            <w:tcBorders>
              <w:top w:val="single" w:sz="8" w:color="auto"/>
              <w:right w:val="single" w:sz="8" w:color="auto"/>
            </w:tcBorders>
            <w:shd w:val="clear" w:color="auto" w:fill="051E68"/>
          </w:tcPr>
          <w:p>
            <w:pPr>
              <w:ind w:left="2160"/>
              <w:spacing w:after="0"/>
              <w:rPr>
                <w:sz w:val="20"/>
                <w:szCs w:val="20"/>
                <w:color w:val="auto"/>
              </w:rPr>
            </w:pPr>
            <w:r>
              <w:rPr>
                <w:rFonts w:ascii="Times New Roman" w:cs="Times New Roman" w:eastAsia="Times New Roman" w:hAnsi="Times New Roman"/>
                <w:sz w:val="17"/>
                <w:szCs w:val="17"/>
                <w:b w:val="1"/>
                <w:bCs w:val="1"/>
                <w:color w:val="FFFFFF"/>
              </w:rPr>
              <w:t>Retainer ($)</w:t>
            </w:r>
          </w:p>
        </w:tc>
      </w:tr>
      <w:tr>
        <w:trPr>
          <w:trHeight w:val="222"/>
        </w:trPr>
        <w:tc>
          <w:tcPr>
            <w:tcW w:w="72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Annual Retainer</w:t>
            </w:r>
          </w:p>
        </w:tc>
        <w:tc>
          <w:tcPr>
            <w:tcW w:w="4040" w:type="dxa"/>
            <w:vAlign w:val="bottom"/>
            <w:tcBorders>
              <w:right w:val="single" w:sz="8" w:color="auto"/>
            </w:tcBorders>
            <w:shd w:val="clear" w:color="auto" w:fill="CCEEFF"/>
          </w:tcPr>
          <w:p>
            <w:pPr>
              <w:jc w:val="center"/>
              <w:ind w:left="1093"/>
              <w:spacing w:after="0"/>
              <w:rPr>
                <w:sz w:val="20"/>
                <w:szCs w:val="20"/>
                <w:color w:val="auto"/>
              </w:rPr>
            </w:pPr>
            <w:r>
              <w:rPr>
                <w:rFonts w:ascii="Times New Roman" w:cs="Times New Roman" w:eastAsia="Times New Roman" w:hAnsi="Times New Roman"/>
                <w:sz w:val="17"/>
                <w:szCs w:val="17"/>
                <w:color w:val="auto"/>
              </w:rPr>
              <w:t>220,000</w:t>
            </w:r>
          </w:p>
        </w:tc>
      </w:tr>
      <w:tr>
        <w:trPr>
          <w:trHeight w:val="222"/>
        </w:trPr>
        <w:tc>
          <w:tcPr>
            <w:tcW w:w="72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4040" w:type="dxa"/>
            <w:vAlign w:val="bottom"/>
            <w:tcBorders>
              <w:right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20,000</w:t>
            </w:r>
          </w:p>
        </w:tc>
      </w:tr>
      <w:tr>
        <w:trPr>
          <w:trHeight w:val="222"/>
        </w:trPr>
        <w:tc>
          <w:tcPr>
            <w:tcW w:w="72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Committee Retainers:</w:t>
            </w:r>
          </w:p>
        </w:tc>
        <w:tc>
          <w:tcPr>
            <w:tcW w:w="4040" w:type="dxa"/>
            <w:vAlign w:val="bottom"/>
            <w:tcBorders>
              <w:right w:val="single" w:sz="8" w:color="auto"/>
            </w:tcBorders>
            <w:shd w:val="clear" w:color="auto" w:fill="CCEEFF"/>
          </w:tcPr>
          <w:p>
            <w:pPr>
              <w:spacing w:after="0"/>
              <w:rPr>
                <w:sz w:val="19"/>
                <w:szCs w:val="19"/>
                <w:color w:val="auto"/>
              </w:rPr>
            </w:pPr>
          </w:p>
        </w:tc>
      </w:tr>
      <w:tr>
        <w:trPr>
          <w:trHeight w:val="222"/>
        </w:trPr>
        <w:tc>
          <w:tcPr>
            <w:tcW w:w="72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Chairperson of the Audit Committee</w:t>
            </w:r>
          </w:p>
        </w:tc>
        <w:tc>
          <w:tcPr>
            <w:tcW w:w="4040" w:type="dxa"/>
            <w:vAlign w:val="bottom"/>
            <w:tcBorders>
              <w:right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20,000</w:t>
            </w:r>
          </w:p>
        </w:tc>
      </w:tr>
      <w:tr>
        <w:trPr>
          <w:trHeight w:val="222"/>
        </w:trPr>
        <w:tc>
          <w:tcPr>
            <w:tcW w:w="722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Members of the Audit Committee</w:t>
            </w:r>
          </w:p>
        </w:tc>
        <w:tc>
          <w:tcPr>
            <w:tcW w:w="4040" w:type="dxa"/>
            <w:vAlign w:val="bottom"/>
            <w:tcBorders>
              <w:right w:val="single" w:sz="8" w:color="auto"/>
            </w:tcBorders>
            <w:shd w:val="clear" w:color="auto" w:fill="CCEEFF"/>
          </w:tcPr>
          <w:p>
            <w:pPr>
              <w:jc w:val="center"/>
              <w:ind w:left="1073"/>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72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Chairperson of the Compensation and Human Capital Committee</w:t>
            </w:r>
          </w:p>
        </w:tc>
        <w:tc>
          <w:tcPr>
            <w:tcW w:w="4040" w:type="dxa"/>
            <w:vAlign w:val="bottom"/>
            <w:tcBorders>
              <w:right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15,000</w:t>
            </w:r>
          </w:p>
        </w:tc>
      </w:tr>
      <w:tr>
        <w:trPr>
          <w:trHeight w:val="222"/>
        </w:trPr>
        <w:tc>
          <w:tcPr>
            <w:tcW w:w="722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Members of the Compensation and Human Capital Committee</w:t>
            </w:r>
          </w:p>
        </w:tc>
        <w:tc>
          <w:tcPr>
            <w:tcW w:w="4040" w:type="dxa"/>
            <w:vAlign w:val="bottom"/>
            <w:tcBorders>
              <w:right w:val="single" w:sz="8" w:color="auto"/>
            </w:tcBorders>
            <w:shd w:val="clear" w:color="auto" w:fill="CCEEFF"/>
          </w:tcPr>
          <w:p>
            <w:pPr>
              <w:jc w:val="center"/>
              <w:ind w:left="1093"/>
              <w:spacing w:after="0"/>
              <w:rPr>
                <w:sz w:val="20"/>
                <w:szCs w:val="20"/>
                <w:color w:val="auto"/>
              </w:rPr>
            </w:pPr>
            <w:r>
              <w:rPr>
                <w:rFonts w:ascii="Times New Roman" w:cs="Times New Roman" w:eastAsia="Times New Roman" w:hAnsi="Times New Roman"/>
                <w:sz w:val="17"/>
                <w:szCs w:val="17"/>
                <w:color w:val="auto"/>
                <w:w w:val="99"/>
              </w:rPr>
              <w:t>7,500</w:t>
            </w:r>
          </w:p>
        </w:tc>
      </w:tr>
      <w:tr>
        <w:trPr>
          <w:trHeight w:val="222"/>
        </w:trPr>
        <w:tc>
          <w:tcPr>
            <w:tcW w:w="72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Chairperson of the NG&amp;S Committee</w:t>
            </w:r>
          </w:p>
        </w:tc>
        <w:tc>
          <w:tcPr>
            <w:tcW w:w="4040" w:type="dxa"/>
            <w:vAlign w:val="bottom"/>
            <w:tcBorders>
              <w:right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7220" w:type="dxa"/>
            <w:vAlign w:val="bottom"/>
            <w:tcBorders>
              <w:left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Members of the NG&amp;S Committee</w:t>
            </w:r>
          </w:p>
        </w:tc>
        <w:tc>
          <w:tcPr>
            <w:tcW w:w="4040" w:type="dxa"/>
            <w:vAlign w:val="bottom"/>
            <w:tcBorders>
              <w:bottom w:val="single" w:sz="8" w:color="auto"/>
              <w:right w:val="single" w:sz="8" w:color="auto"/>
            </w:tcBorders>
            <w:shd w:val="clear" w:color="auto" w:fill="CCEEFF"/>
          </w:tcPr>
          <w:p>
            <w:pPr>
              <w:jc w:val="center"/>
              <w:ind w:left="1093"/>
              <w:spacing w:after="0"/>
              <w:rPr>
                <w:sz w:val="20"/>
                <w:szCs w:val="20"/>
                <w:color w:val="auto"/>
              </w:rPr>
            </w:pPr>
            <w:r>
              <w:rPr>
                <w:rFonts w:ascii="Times New Roman" w:cs="Times New Roman" w:eastAsia="Times New Roman" w:hAnsi="Times New Roman"/>
                <w:sz w:val="17"/>
                <w:szCs w:val="17"/>
                <w:color w:val="auto"/>
                <w:w w:val="99"/>
              </w:rPr>
              <w:t>5,000</w:t>
            </w:r>
          </w:p>
        </w:tc>
      </w:tr>
    </w:tbl>
    <w:p>
      <w:pPr>
        <w:spacing w:after="0" w:line="230"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As in recent years, in 2023, the board of directors continued to forego an annual stock award and instead receive the full amount of the above retainers as cash payments in order to minimize stockholder dilution; however, in connection with Ms. Breyer’s appointment on December 1, 2023, the board of directors approved a grant of restricted stock units, with an approximate value of $150,000, which vests in full on the first anniversary of the date of grant.</w:t>
      </w:r>
    </w:p>
    <w:p>
      <w:pPr>
        <w:spacing w:after="0" w:line="111" w:lineRule="exact"/>
        <w:rPr>
          <w:sz w:val="20"/>
          <w:szCs w:val="20"/>
          <w:color w:val="auto"/>
        </w:rPr>
      </w:pPr>
    </w:p>
    <w:p>
      <w:pPr>
        <w:jc w:val="both"/>
        <w:ind w:right="20" w:firstLine="470"/>
        <w:spacing w:after="0" w:line="269" w:lineRule="auto"/>
        <w:rPr>
          <w:sz w:val="20"/>
          <w:szCs w:val="20"/>
          <w:color w:val="auto"/>
        </w:rPr>
      </w:pPr>
      <w:r>
        <w:rPr>
          <w:rFonts w:ascii="Times New Roman" w:cs="Times New Roman" w:eastAsia="Times New Roman" w:hAnsi="Times New Roman"/>
          <w:sz w:val="17"/>
          <w:szCs w:val="17"/>
          <w:color w:val="auto"/>
        </w:rPr>
        <w:t>For 2024, the board of directors has resumed its historical practice of providing $70,000 of the Annual Retainer in cash and $150,000 in the form of an award of restricted stock or restricted stock units, as elected by the director, in order to further align each director’s interests with those of our other stockholders. Such awards vest in full on the first anniversary of the date of grant, and directors receiving restricted stock units may elect to defer settlement of all or a portion of such awards through their separation from service or the earlier of their separation from service and an elected year of settlement.</w:t>
      </w:r>
    </w:p>
    <w:p>
      <w:pPr>
        <w:spacing w:after="0" w:line="116"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Effective January 1, 2024, Mr. Gaut retired as an executive officer of the Company. He will receive compensation consistent with that provided to the Company’s non-employee directors as well as an annual $100,000 fee for his services as non-executive Chairman and subsidized group health plan premium coverage.</w:t>
      </w:r>
    </w:p>
    <w:p>
      <w:pPr>
        <w:spacing w:after="0" w:line="111" w:lineRule="exact"/>
        <w:rPr>
          <w:sz w:val="20"/>
          <w:szCs w:val="20"/>
          <w:color w:val="auto"/>
        </w:rPr>
      </w:pPr>
    </w:p>
    <w:p>
      <w:pPr>
        <w:jc w:val="both"/>
        <w:ind w:right="20" w:firstLine="470"/>
        <w:spacing w:after="0" w:line="263" w:lineRule="auto"/>
        <w:rPr>
          <w:sz w:val="20"/>
          <w:szCs w:val="20"/>
          <w:color w:val="auto"/>
        </w:rPr>
      </w:pPr>
      <w:r>
        <w:rPr>
          <w:rFonts w:ascii="Times New Roman" w:cs="Times New Roman" w:eastAsia="Times New Roman" w:hAnsi="Times New Roman"/>
          <w:sz w:val="17"/>
          <w:szCs w:val="17"/>
          <w:color w:val="auto"/>
        </w:rPr>
        <w:t>All of our directors remain subject to our Stock Ownership Requirements Policy, which requires them to hold at least $210,000 of the Company’s common stock or other eligible forms of beneficial ownership. As of December 31, 2023, all of our directors were in compliance with the Stock Ownership Requirements Policy or were within the five year grace period afforded by the policy for them to obtain compliance. Pursuant to the Stock Ownership Requirements Policy, if a director has satisfied the policy’s requirements on a prior determination date, a decrease in the applicable closing stock price following such date does not cause a director to be non-compliant with the policy. The board of directors evaluates each director's stock ownership levels on an annual basis and utilizes the prior year's average stock price for purposes of measuring the value of a director’s stock ownership under the Stock Ownership Requirements Policy.</w:t>
      </w:r>
    </w:p>
    <w:p>
      <w:pPr>
        <w:spacing w:after="0" w:line="386" w:lineRule="exact"/>
        <w:rPr>
          <w:sz w:val="20"/>
          <w:szCs w:val="20"/>
          <w:color w:val="auto"/>
        </w:rPr>
      </w:pPr>
    </w:p>
    <w:p>
      <w:pPr>
        <w:jc w:val="both"/>
        <w:ind w:right="2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provides information on FET’s compensation for non-executive directors in 2023. Messrs. Gaut and Lux did not receive any additional compensation for their service as directors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60"/>
          </w:cols>
          <w:pgMar w:left="320" w:top="1374" w:right="319" w:bottom="1440" w:gutter="0" w:footer="0" w:header="0"/>
        </w:sectPr>
      </w:pPr>
    </w:p>
    <w:bookmarkStart w:id="23" w:name="page24"/>
    <w:bookmarkEnd w:id="23"/>
    <w:p>
      <w:pPr>
        <w:spacing w:after="0" w:line="51" w:lineRule="exact"/>
        <w:rPr>
          <w:sz w:val="20"/>
          <w:szCs w:val="20"/>
          <w:color w:val="auto"/>
        </w:rPr>
      </w:pPr>
    </w:p>
    <w:tbl>
      <w:tblPr>
        <w:tblLayout w:type="fixed"/>
        <w:tblInd w:w="790" w:type="dxa"/>
        <w:tblCellMar>
          <w:top w:w="0" w:type="dxa"/>
          <w:left w:w="0" w:type="dxa"/>
          <w:bottom w:w="0" w:type="dxa"/>
          <w:right w:w="0" w:type="dxa"/>
        </w:tblCellMar>
      </w:tblPr>
      <w:tr>
        <w:trPr>
          <w:trHeight w:val="183"/>
        </w:trPr>
        <w:tc>
          <w:tcPr>
            <w:tcW w:w="3200" w:type="dxa"/>
            <w:vAlign w:val="bottom"/>
            <w:tcBorders>
              <w:top w:val="single" w:sz="8" w:color="auto"/>
              <w:left w:val="single" w:sz="8" w:color="auto"/>
            </w:tcBorders>
            <w:vMerge w:val="restart"/>
            <w:shd w:val="clear" w:color="auto" w:fill="051E68"/>
          </w:tcPr>
          <w:p>
            <w:pPr>
              <w:ind w:left="4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3220" w:type="dxa"/>
            <w:vAlign w:val="bottom"/>
            <w:tcBorders>
              <w:top w:val="single" w:sz="8" w:color="auto"/>
            </w:tcBorders>
            <w:shd w:val="clear" w:color="auto" w:fill="051E68"/>
          </w:tcPr>
          <w:p>
            <w:pPr>
              <w:jc w:val="center"/>
              <w:ind w:left="753"/>
              <w:spacing w:after="0" w:line="183" w:lineRule="exact"/>
              <w:rPr>
                <w:sz w:val="20"/>
                <w:szCs w:val="20"/>
                <w:color w:val="auto"/>
              </w:rPr>
            </w:pPr>
            <w:r>
              <w:rPr>
                <w:rFonts w:ascii="Times New Roman" w:cs="Times New Roman" w:eastAsia="Times New Roman" w:hAnsi="Times New Roman"/>
                <w:sz w:val="17"/>
                <w:szCs w:val="17"/>
                <w:b w:val="1"/>
                <w:bCs w:val="1"/>
                <w:color w:val="FFFFFF"/>
              </w:rPr>
              <w:t>Fees Earned or Paid in</w:t>
            </w:r>
          </w:p>
        </w:tc>
        <w:tc>
          <w:tcPr>
            <w:tcW w:w="2360" w:type="dxa"/>
            <w:vAlign w:val="bottom"/>
            <w:tcBorders>
              <w:top w:val="single" w:sz="8" w:color="auto"/>
            </w:tcBorders>
            <w:vMerge w:val="restart"/>
            <w:shd w:val="clear" w:color="auto" w:fill="051E68"/>
          </w:tcPr>
          <w:p>
            <w:pPr>
              <w:ind w:left="320"/>
              <w:spacing w:after="0"/>
              <w:rPr>
                <w:sz w:val="20"/>
                <w:szCs w:val="20"/>
                <w:color w:val="auto"/>
              </w:rPr>
            </w:pPr>
            <w:r>
              <w:rPr>
                <w:rFonts w:ascii="Times New Roman" w:cs="Times New Roman" w:eastAsia="Times New Roman" w:hAnsi="Times New Roman"/>
                <w:sz w:val="17"/>
                <w:szCs w:val="17"/>
                <w:b w:val="1"/>
                <w:bCs w:val="1"/>
                <w:color w:val="FFFFFF"/>
              </w:rPr>
              <w:t xml:space="preserve">Stock Awards ($) </w:t>
            </w:r>
            <w:r>
              <w:rPr>
                <w:rFonts w:ascii="Times New Roman" w:cs="Times New Roman" w:eastAsia="Times New Roman" w:hAnsi="Times New Roman"/>
                <w:sz w:val="22"/>
                <w:szCs w:val="22"/>
                <w:b w:val="1"/>
                <w:bCs w:val="1"/>
                <w:color w:val="FFFFFF"/>
                <w:vertAlign w:val="superscript"/>
              </w:rPr>
              <w:t>(1)</w:t>
            </w:r>
          </w:p>
        </w:tc>
        <w:tc>
          <w:tcPr>
            <w:tcW w:w="1780" w:type="dxa"/>
            <w:vAlign w:val="bottom"/>
            <w:tcBorders>
              <w:top w:val="single" w:sz="8" w:color="auto"/>
            </w:tcBorders>
            <w:vMerge w:val="restart"/>
            <w:shd w:val="clear" w:color="auto" w:fill="051E68"/>
          </w:tcPr>
          <w:p>
            <w:pPr>
              <w:ind w:left="600"/>
              <w:spacing w:after="0"/>
              <w:rPr>
                <w:sz w:val="20"/>
                <w:szCs w:val="20"/>
                <w:color w:val="auto"/>
              </w:rPr>
            </w:pPr>
            <w:r>
              <w:rPr>
                <w:rFonts w:ascii="Times New Roman" w:cs="Times New Roman" w:eastAsia="Times New Roman" w:hAnsi="Times New Roman"/>
                <w:sz w:val="17"/>
                <w:szCs w:val="17"/>
                <w:b w:val="1"/>
                <w:bCs w:val="1"/>
                <w:color w:val="FFFFFF"/>
              </w:rPr>
              <w:t>Total ($)</w:t>
            </w:r>
          </w:p>
        </w:tc>
        <w:tc>
          <w:tcPr>
            <w:tcW w:w="0" w:type="dxa"/>
            <w:vAlign w:val="bottom"/>
          </w:tcPr>
          <w:p>
            <w:pPr>
              <w:spacing w:after="0"/>
              <w:rPr>
                <w:sz w:val="1"/>
                <w:szCs w:val="1"/>
                <w:color w:val="auto"/>
              </w:rPr>
            </w:pPr>
          </w:p>
        </w:tc>
      </w:tr>
      <w:tr>
        <w:trPr>
          <w:trHeight w:val="235"/>
        </w:trPr>
        <w:tc>
          <w:tcPr>
            <w:tcW w:w="3200" w:type="dxa"/>
            <w:vAlign w:val="bottom"/>
            <w:tcBorders>
              <w:left w:val="single" w:sz="8" w:color="auto"/>
            </w:tcBorders>
            <w:vMerge w:val="continue"/>
            <w:shd w:val="clear" w:color="auto" w:fill="051E68"/>
          </w:tcPr>
          <w:p>
            <w:pPr>
              <w:spacing w:after="0"/>
              <w:rPr>
                <w:sz w:val="20"/>
                <w:szCs w:val="20"/>
                <w:color w:val="auto"/>
              </w:rPr>
            </w:pPr>
          </w:p>
        </w:tc>
        <w:tc>
          <w:tcPr>
            <w:tcW w:w="3220" w:type="dxa"/>
            <w:vAlign w:val="bottom"/>
            <w:shd w:val="clear" w:color="auto" w:fill="051E68"/>
          </w:tcPr>
          <w:p>
            <w:pPr>
              <w:jc w:val="center"/>
              <w:ind w:left="753"/>
              <w:spacing w:after="0"/>
              <w:rPr>
                <w:sz w:val="20"/>
                <w:szCs w:val="20"/>
                <w:color w:val="auto"/>
              </w:rPr>
            </w:pPr>
            <w:r>
              <w:rPr>
                <w:rFonts w:ascii="Times New Roman" w:cs="Times New Roman" w:eastAsia="Times New Roman" w:hAnsi="Times New Roman"/>
                <w:sz w:val="17"/>
                <w:szCs w:val="17"/>
                <w:b w:val="1"/>
                <w:bCs w:val="1"/>
                <w:color w:val="FFFFFF"/>
              </w:rPr>
              <w:t>Cash ($)</w:t>
            </w:r>
          </w:p>
        </w:tc>
        <w:tc>
          <w:tcPr>
            <w:tcW w:w="2360" w:type="dxa"/>
            <w:vAlign w:val="bottom"/>
            <w:vMerge w:val="continue"/>
            <w:shd w:val="clear" w:color="auto" w:fill="051E68"/>
          </w:tcPr>
          <w:p>
            <w:pPr>
              <w:spacing w:after="0"/>
              <w:rPr>
                <w:sz w:val="20"/>
                <w:szCs w:val="20"/>
                <w:color w:val="auto"/>
              </w:rPr>
            </w:pPr>
          </w:p>
        </w:tc>
        <w:tc>
          <w:tcPr>
            <w:tcW w:w="1780" w:type="dxa"/>
            <w:vAlign w:val="bottom"/>
            <w:vMerge w:val="continue"/>
            <w:shd w:val="clear" w:color="auto" w:fill="051E68"/>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Evelyn M. Angelle</w:t>
            </w:r>
          </w:p>
        </w:tc>
        <w:tc>
          <w:tcPr>
            <w:tcW w:w="32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245,000</w:t>
            </w:r>
          </w:p>
        </w:tc>
        <w:tc>
          <w:tcPr>
            <w:tcW w:w="23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245,000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tcPr>
          <w:p>
            <w:pPr>
              <w:ind w:left="40"/>
              <w:spacing w:after="0" w:line="222" w:lineRule="exact"/>
              <w:rPr>
                <w:sz w:val="20"/>
                <w:szCs w:val="20"/>
                <w:color w:val="auto"/>
              </w:rPr>
            </w:pPr>
            <w:r>
              <w:rPr>
                <w:rFonts w:ascii="Times New Roman" w:cs="Times New Roman" w:eastAsia="Times New Roman" w:hAnsi="Times New Roman"/>
                <w:sz w:val="17"/>
                <w:szCs w:val="17"/>
                <w:color w:val="auto"/>
              </w:rPr>
              <w:t xml:space="preserve">Leslie A. Beyer </w:t>
            </w:r>
            <w:r>
              <w:rPr>
                <w:rFonts w:ascii="Times New Roman" w:cs="Times New Roman" w:eastAsia="Times New Roman" w:hAnsi="Times New Roman"/>
                <w:sz w:val="22"/>
                <w:szCs w:val="22"/>
                <w:color w:val="auto"/>
                <w:vertAlign w:val="superscript"/>
              </w:rPr>
              <w:t>(2)</w:t>
            </w:r>
          </w:p>
        </w:tc>
        <w:tc>
          <w:tcPr>
            <w:tcW w:w="322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18,750</w:t>
            </w:r>
          </w:p>
        </w:tc>
        <w:tc>
          <w:tcPr>
            <w:tcW w:w="236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150,010</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168,760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A. Carrig</w:t>
            </w:r>
          </w:p>
        </w:tc>
        <w:tc>
          <w:tcPr>
            <w:tcW w:w="32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240,000</w:t>
            </w:r>
          </w:p>
        </w:tc>
        <w:tc>
          <w:tcPr>
            <w:tcW w:w="23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240,000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McShane</w:t>
            </w:r>
          </w:p>
        </w:tc>
        <w:tc>
          <w:tcPr>
            <w:tcW w:w="322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247,500</w:t>
            </w:r>
          </w:p>
        </w:tc>
        <w:tc>
          <w:tcPr>
            <w:tcW w:w="236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247,500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Louis A. Raspino, Jr.</w:t>
            </w:r>
          </w:p>
        </w:tc>
        <w:tc>
          <w:tcPr>
            <w:tcW w:w="32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235,000</w:t>
            </w:r>
          </w:p>
        </w:tc>
        <w:tc>
          <w:tcPr>
            <w:tcW w:w="23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235,000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tcPr>
          <w:p>
            <w:pPr>
              <w:ind w:left="40"/>
              <w:spacing w:after="0" w:line="222" w:lineRule="exact"/>
              <w:rPr>
                <w:sz w:val="20"/>
                <w:szCs w:val="20"/>
                <w:color w:val="auto"/>
              </w:rPr>
            </w:pPr>
            <w:r>
              <w:rPr>
                <w:rFonts w:ascii="Times New Roman" w:cs="Times New Roman" w:eastAsia="Times New Roman" w:hAnsi="Times New Roman"/>
                <w:sz w:val="17"/>
                <w:szCs w:val="17"/>
                <w:color w:val="auto"/>
              </w:rPr>
              <w:t xml:space="preserve">Dr. Emily Reichert, Ph.D. </w:t>
            </w:r>
            <w:r>
              <w:rPr>
                <w:rFonts w:ascii="Times New Roman" w:cs="Times New Roman" w:eastAsia="Times New Roman" w:hAnsi="Times New Roman"/>
                <w:sz w:val="22"/>
                <w:szCs w:val="22"/>
                <w:color w:val="auto"/>
                <w:vertAlign w:val="superscript"/>
              </w:rPr>
              <w:t>(3)</w:t>
            </w:r>
          </w:p>
        </w:tc>
        <w:tc>
          <w:tcPr>
            <w:tcW w:w="322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168,750</w:t>
            </w:r>
          </w:p>
        </w:tc>
        <w:tc>
          <w:tcPr>
            <w:tcW w:w="236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168,750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Paul E. Rowsey III</w:t>
            </w:r>
          </w:p>
        </w:tc>
        <w:tc>
          <w:tcPr>
            <w:tcW w:w="32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237,500</w:t>
            </w:r>
          </w:p>
        </w:tc>
        <w:tc>
          <w:tcPr>
            <w:tcW w:w="23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237,500</w:t>
            </w:r>
          </w:p>
        </w:tc>
        <w:tc>
          <w:tcPr>
            <w:tcW w:w="0" w:type="dxa"/>
            <w:vAlign w:val="bottom"/>
          </w:tcPr>
          <w:p>
            <w:pPr>
              <w:spacing w:after="0"/>
              <w:rPr>
                <w:sz w:val="1"/>
                <w:szCs w:val="1"/>
                <w:color w:val="auto"/>
              </w:rPr>
            </w:pPr>
          </w:p>
        </w:tc>
      </w:tr>
      <w:tr>
        <w:trPr>
          <w:trHeight w:val="222"/>
        </w:trPr>
        <w:tc>
          <w:tcPr>
            <w:tcW w:w="3200" w:type="dxa"/>
            <w:vAlign w:val="bottom"/>
            <w:tcBorders>
              <w:left w:val="single" w:sz="8" w:color="auto"/>
              <w:bottom w:val="single" w:sz="8" w:color="auto"/>
            </w:tcBorders>
          </w:tcPr>
          <w:p>
            <w:pPr>
              <w:ind w:left="40"/>
              <w:spacing w:after="0" w:line="222" w:lineRule="exact"/>
              <w:rPr>
                <w:sz w:val="20"/>
                <w:szCs w:val="20"/>
                <w:color w:val="auto"/>
              </w:rPr>
            </w:pPr>
            <w:r>
              <w:rPr>
                <w:rFonts w:ascii="Times New Roman" w:cs="Times New Roman" w:eastAsia="Times New Roman" w:hAnsi="Times New Roman"/>
                <w:sz w:val="17"/>
                <w:szCs w:val="17"/>
                <w:color w:val="auto"/>
              </w:rPr>
              <w:t xml:space="preserve">John Schmitz </w:t>
            </w:r>
            <w:r>
              <w:rPr>
                <w:rFonts w:ascii="Times New Roman" w:cs="Times New Roman" w:eastAsia="Times New Roman" w:hAnsi="Times New Roman"/>
                <w:sz w:val="22"/>
                <w:szCs w:val="22"/>
                <w:color w:val="auto"/>
                <w:vertAlign w:val="superscript"/>
              </w:rPr>
              <w:t>(4)</w:t>
            </w:r>
          </w:p>
        </w:tc>
        <w:tc>
          <w:tcPr>
            <w:tcW w:w="32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7"/>
                <w:szCs w:val="17"/>
                <w:color w:val="auto"/>
              </w:rPr>
              <w:t>57,500</w:t>
            </w:r>
          </w:p>
        </w:tc>
        <w:tc>
          <w:tcPr>
            <w:tcW w:w="2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57,500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20" w:right="100" w:hanging="316"/>
        <w:spacing w:after="0" w:line="260" w:lineRule="auto"/>
        <w:tabs>
          <w:tab w:leader="none" w:pos="38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 of restricted stock units, as determined in accordance with FASB Accounting Standards Codification Topic 718. The grant date fair value of restricted stock units issued in 2023 was $22.47 per unit based on the closing price of a share of our common stock on the date of grant. For additional information, see Note 15 to our consolidated financial statements in our annual report on Form 10-K for the year ended December 31, 2023. As of December 31, 2023, Ms. Angelle and Mr. Carrig held 3,834 and 4,248, respectively, vested but unsettled restricted stock units that are subject to deferred settlement (on the earlier of (i) 10 years following the date of grant or (ii) separation from service), and Ms. Beyer held 6,676 unvested restricted stock units. No other non-employee directors held outstanding restricted stock units or unvested shares of restricted stock as of December 31, 2023.</w:t>
      </w:r>
    </w:p>
    <w:p>
      <w:pPr>
        <w:spacing w:after="0" w:line="67"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Beyer was appointed to the board of directors on December 1, 2023.</w:t>
      </w:r>
    </w:p>
    <w:p>
      <w:pPr>
        <w:spacing w:after="0" w:line="113"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Reichert retired from the board of directors on November 2, 2023.</w:t>
      </w:r>
    </w:p>
    <w:p>
      <w:pPr>
        <w:spacing w:after="0" w:line="113"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Schmitz retired from the board of directors on 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340"/>
          </w:cols>
          <w:pgMar w:left="320" w:top="1440" w:right="239" w:bottom="1440" w:gutter="0" w:footer="0" w:header="0"/>
        </w:sectPr>
      </w:pPr>
    </w:p>
    <w:bookmarkStart w:id="24" w:name="page25"/>
    <w:bookmarkEnd w:id="24"/>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CORPORATE GOVERNANCE</w:t>
      </w:r>
    </w:p>
    <w:p>
      <w:pPr>
        <w:spacing w:after="0" w:line="16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are committed to adhering to sound principles of ethical conduct and good corporate governance and pay practices. We believe that our practices reflect good compensation, governance and market practice.</w:t>
      </w:r>
    </w:p>
    <w:p>
      <w:pPr>
        <w:spacing w:after="0" w:line="92"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Core Values. </w:t>
      </w:r>
      <w:r>
        <w:rPr>
          <w:rFonts w:ascii="Times New Roman" w:cs="Times New Roman" w:eastAsia="Times New Roman" w:hAnsi="Times New Roman"/>
          <w:sz w:val="17"/>
          <w:szCs w:val="17"/>
          <w:color w:val="auto"/>
        </w:rPr>
        <w:t>Our Core Values of No One Gets Hurt, Integrity, Customer Focus and Good Place to Work are the foundation of our Company’s culture.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belief of our board of directors and management that by adhering to these values we are able to protect the Company’s reputation and maximize stockholder value. Our Core Values are meant to inform the way that we do business, establish the framework for our governance programs and dictate the way management is expected to interact internally and externally.</w:t>
      </w:r>
    </w:p>
    <w:p>
      <w:pPr>
        <w:spacing w:after="0" w:line="11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The board of directors is responsible for oversight of our business and affairs. To assist it in carrying out its duties,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has delegated certain authority to our Audit Committee, Compensation and Human Capital Committee, and NG&amp;S Committee. The board of directors also delegated, and may in the future delegate, certain authority to other committees from time to time. During 2023, the board of directors held four meetings. Each director attended at least 90% of the total number of meetings of the board of directors and committees on which he or she served. Directors are expected to attend all meetings of the board of directors and committees on which they serve, and to spend as much time and meet as frequently as necessary to properly discharge their responsibilities. In addition, directors are encouraged to attend annual meetings of our stockholders. Each of our directors who were then serving attended the 2023 Annual Meeting of Stockholders.</w:t>
      </w:r>
    </w:p>
    <w:p>
      <w:pPr>
        <w:spacing w:after="0" w:line="119"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Board Culture. </w:t>
      </w:r>
      <w:r>
        <w:rPr>
          <w:rFonts w:ascii="Times New Roman" w:cs="Times New Roman" w:eastAsia="Times New Roman" w:hAnsi="Times New Roman"/>
          <w:sz w:val="17"/>
          <w:szCs w:val="17"/>
          <w:color w:val="auto"/>
        </w:rPr>
        <w:t>The board of directors has established and continues to focus on developing a culture that results in the arrival at decisions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meaningful and fulsome discussion, where all views are considered and readily challenged. It is the belief of our board of directors that a strong culture affects all facets of the organization. The directors also strive to hold management to the highest standards and challenge them to maximize stockholder value and maintain adherence to our Core Values.</w:t>
      </w:r>
    </w:p>
    <w:p>
      <w:pPr>
        <w:spacing w:after="0" w:line="112"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Code of Conduct</w:t>
      </w:r>
      <w:r>
        <w:rPr>
          <w:rFonts w:ascii="Times New Roman" w:cs="Times New Roman" w:eastAsia="Times New Roman" w:hAnsi="Times New Roman"/>
          <w:sz w:val="17"/>
          <w:szCs w:val="17"/>
          <w:color w:val="auto"/>
        </w:rPr>
        <w:t>. Our board of directors has adopted a Code of Conduct (the “Code of Conduct”), which applies to all of our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and others working on FET’s behalf. The Code of Conduct describes the responsibility of these individuals to comply with the legal and ethical requirements governing our business conduct, including:</w:t>
      </w:r>
    </w:p>
    <w:p>
      <w:pPr>
        <w:spacing w:after="0" w:line="56" w:lineRule="exact"/>
        <w:rPr>
          <w:sz w:val="20"/>
          <w:szCs w:val="20"/>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our assets and those of our customers;</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Fostering a safe and healthy work environment;</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Dealing fairly with customers and other third parties;</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international business properly;</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misconduct;</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Guarding employees from harassment and retaliation; and</w:t>
      </w:r>
    </w:p>
    <w:p>
      <w:pPr>
        <w:spacing w:after="0" w:line="117" w:lineRule="exact"/>
        <w:rPr>
          <w:rFonts w:ascii="Times New Roman" w:cs="Times New Roman" w:eastAsia="Times New Roman" w:hAnsi="Times New Roman"/>
          <w:sz w:val="17"/>
          <w:szCs w:val="17"/>
          <w:color w:val="auto"/>
        </w:rPr>
      </w:pPr>
    </w:p>
    <w:p>
      <w:pPr>
        <w:ind w:left="820" w:hanging="228"/>
        <w:spacing w:after="0"/>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social and governance matters.</w:t>
      </w:r>
    </w:p>
    <w:p>
      <w:pPr>
        <w:spacing w:after="0" w:line="11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an annual basis, specifically identified employees are requested to complete a questionnaire. The questionnaire is designed to audit internal compliance with the Company’s Code of Conduct. All questionnaire responses are reviewed and investigated by a committee under the supervision of our General Counsel. The Code of Conduct is supplemented by our other corporate policies, including our Financial Code of Ethics, which sets forth the ethical principles by which our principal executive officer (“CEO”), principal financial officer (“CFO”), principal accounting officer (“PAO”), controllers and other senior financial and accounting officers are expected to conduct themselves when carrying out their duties and responsibilities.</w:t>
      </w:r>
    </w:p>
    <w:p>
      <w:pPr>
        <w:spacing w:after="0" w:line="6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Any waivers to our Code of Conduct or Financial Code of Ethics can only be made by the board of directors or a committee thereof. Any amendment to, or waiver from, a provision of the Code of Conduct or Financial Code of Ethics that (i) applies to our CEO, CFO, PAO, controllers or other persons performing similar functions to the foregoing, and (ii) relates to any element of the code of ethics definitions, as enumerated in Item 406(b) of SEC Regulation S-K will be posted on the Company’s website at </w:t>
      </w:r>
      <w:r>
        <w:rPr>
          <w:rFonts w:ascii="Times New Roman" w:cs="Times New Roman" w:eastAsia="Times New Roman" w:hAnsi="Times New Roman"/>
          <w:sz w:val="17"/>
          <w:szCs w:val="17"/>
          <w:i w:val="1"/>
          <w:iCs w:val="1"/>
          <w:color w:val="auto"/>
        </w:rPr>
        <w:t>www.f-e-t.com</w:t>
      </w:r>
      <w:r>
        <w:rPr>
          <w:rFonts w:ascii="Times New Roman" w:cs="Times New Roman" w:eastAsia="Times New Roman" w:hAnsi="Times New Roman"/>
          <w:sz w:val="17"/>
          <w:szCs w:val="17"/>
          <w:color w:val="auto"/>
        </w:rPr>
        <w:t xml:space="preserve"> within four business days following the date of the amendment or waiver. There have been no waivers of the Code of Conduct or Financial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 xml:space="preserve">Directors, officers and specifically identified employees are required to annually certify that they have read, understand and will comply with the Code of Conduct. The Code of Conduct and the Financial Code of Ethics are available on our website at </w:t>
      </w:r>
      <w:r>
        <w:rPr>
          <w:rFonts w:ascii="Times New Roman" w:cs="Times New Roman" w:eastAsia="Times New Roman" w:hAnsi="Times New Roman"/>
          <w:sz w:val="17"/>
          <w:szCs w:val="17"/>
          <w:i w:val="1"/>
          <w:iCs w:val="1"/>
          <w:color w:val="auto"/>
        </w:rPr>
        <w:t>www.f-e-t.com</w:t>
      </w:r>
      <w:r>
        <w:rPr>
          <w:rFonts w:ascii="Times New Roman" w:cs="Times New Roman" w:eastAsia="Times New Roman" w:hAnsi="Times New Roman"/>
          <w:sz w:val="17"/>
          <w:szCs w:val="17"/>
          <w:color w:val="auto"/>
        </w:rPr>
        <w:t xml:space="preserve"> under “Corporate Governance” in the “Investors” section.</w:t>
      </w:r>
    </w:p>
    <w:p>
      <w:pPr>
        <w:spacing w:after="0" w:line="5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Executive and Director Stock Ownership Requirements. </w:t>
      </w:r>
      <w:r>
        <w:rPr>
          <w:rFonts w:ascii="Times New Roman" w:cs="Times New Roman" w:eastAsia="Times New Roman" w:hAnsi="Times New Roman"/>
          <w:sz w:val="17"/>
          <w:szCs w:val="17"/>
          <w:color w:val="auto"/>
        </w:rPr>
        <w:t>To further align the interests of our directors and executive officers with the long-term interests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our board of directors has adopted a Stock Ownership Requirements Policy that requires our named executive officers and non-executive directors to own shares equal to specified amounts of our common stock, set at a multiple of the directors’ base annual cash retainer or the officers’ base annual salary, in each case, in effect as of January 1 of each applicable year. Targets are based on multiples of annual retainer or base salary. The ownership levels required under the amended Stock Ownership Requirements Policy are as follows: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900" w:type="dxa"/>
            <w:vAlign w:val="bottom"/>
            <w:tcBorders>
              <w:top w:val="single" w:sz="8" w:color="auto"/>
              <w:left w:val="single" w:sz="8" w:color="auto"/>
              <w:right w:val="single" w:sz="8" w:color="auto"/>
            </w:tcBorders>
            <w:shd w:val="clear" w:color="auto" w:fill="051E68"/>
          </w:tcPr>
          <w:p>
            <w:pPr>
              <w:ind w:left="3780"/>
              <w:spacing w:after="0"/>
              <w:rPr>
                <w:sz w:val="20"/>
                <w:szCs w:val="20"/>
                <w:color w:val="auto"/>
              </w:rPr>
            </w:pPr>
            <w:r>
              <w:rPr>
                <w:rFonts w:ascii="Times New Roman" w:cs="Times New Roman" w:eastAsia="Times New Roman" w:hAnsi="Times New Roman"/>
                <w:sz w:val="17"/>
                <w:szCs w:val="17"/>
                <w:b w:val="1"/>
                <w:bCs w:val="1"/>
                <w:color w:val="FFFFFF"/>
              </w:rPr>
              <w:t>Role</w:t>
            </w:r>
          </w:p>
        </w:tc>
        <w:tc>
          <w:tcPr>
            <w:tcW w:w="3340" w:type="dxa"/>
            <w:vAlign w:val="bottom"/>
            <w:tcBorders>
              <w:top w:val="single" w:sz="8" w:color="auto"/>
              <w:righ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rPr>
              <w:t>Multiple</w:t>
            </w:r>
          </w:p>
        </w:tc>
      </w:tr>
      <w:tr>
        <w:trPr>
          <w:trHeight w:val="222"/>
        </w:trPr>
        <w:tc>
          <w:tcPr>
            <w:tcW w:w="7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CEO</w:t>
            </w:r>
          </w:p>
        </w:tc>
        <w:tc>
          <w:tcPr>
            <w:tcW w:w="3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5x</w:t>
            </w:r>
          </w:p>
        </w:tc>
      </w:tr>
      <w:tr>
        <w:trPr>
          <w:trHeight w:val="222"/>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Non-executive director</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3x</w:t>
            </w:r>
          </w:p>
        </w:tc>
      </w:tr>
      <w:tr>
        <w:trPr>
          <w:trHeight w:val="222"/>
        </w:trPr>
        <w:tc>
          <w:tcPr>
            <w:tcW w:w="7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3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2x</w:t>
            </w:r>
          </w:p>
        </w:tc>
      </w:tr>
      <w:tr>
        <w:trPr>
          <w:trHeight w:val="222"/>
        </w:trPr>
        <w:tc>
          <w:tcPr>
            <w:tcW w:w="7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Senior Vice President</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1x</w:t>
            </w:r>
          </w:p>
        </w:tc>
      </w:tr>
    </w:tbl>
    <w:p>
      <w:pPr>
        <w:spacing w:after="0" w:line="28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All directors are expected to reach the requisite level of target ownership within five years of joining our board of directors in an individual capacity (other than pursuant to an agreement with a stockholder of the Company) and officers are expected to reach this level of target ownership within the later of five years after becoming subject to the policy, or three years after a promotion to a higher target multiple. Fully vested shares of stock, restricted stock, restricted stock units (including deferred stock units), earned but unvested performance shares and certain shares owned by key stockholders affiliated with such directors are counted in satisfying the stock ownership guidelines. Shares issuable upon exercise of unexercised stock options and SARs and unearned performance shares are not counted. An officer who is not in compliance with the policy may only sell shares to pay the applicable taxes related to an award of restricted stock or restricted stock units, the value of which does not exceed such tax liability, or to pay the exercise price or applicable taxes upon the exercise of stock options, and must retain shares received upon exercise net of shares sold to cover the exercise price or taxes, as applicable. Each of our directors and named executive officers satisfies the stock ownership requirements set forth in the policy or are within the three- or five-year grace period. Pursuant to the Stock Ownership Requirements Policy, if an executive or director has satisfied the policy’s requirements on a prior determination date, a decrease in the applicable closing stock price following such date is not considered to result in non-compliance on a subsequent determination date. Given the significant value of shares required to be held, we believe the policy is effective in aligning the interests of our directors and named executive officers with those of our stockholders without imposing a minimum holding period after vesting.</w:t>
      </w:r>
    </w:p>
    <w:p>
      <w:pPr>
        <w:spacing w:after="0" w:line="1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Clawback Policies. </w:t>
      </w:r>
      <w:r>
        <w:rPr>
          <w:rFonts w:ascii="Times New Roman" w:cs="Times New Roman" w:eastAsia="Times New Roman" w:hAnsi="Times New Roman"/>
          <w:sz w:val="17"/>
          <w:szCs w:val="17"/>
          <w:color w:val="auto"/>
        </w:rPr>
        <w:t>In addition to the recoupment provisions of our short-term cash incentive compensation program and our stock incentive plan,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we adopted a clawback policy that is intended to comply with the requirements of New York Stock Exchange Listing Standard 303A.14 implementing Rule 10D-1 under the U.S. Securities Exchange Act of 1934, as amended (the “Exchange Act”). In the event FET is required to prepare an accounting restatement of the Company’s financial statements due to material non-compliance with any financial reporting requirement under the federal securities laws, FET will recover the excess incentive-based compensation received by any covered executive, including our named executive officers, during the prior three fiscal years that exceeds the amount that the executive otherwise would have received had the incentive-based compensation been determined based on the restated financial statements. In addition, we have an existing clawback policy pursuant to which cash and equity awards to executive officers are subject to recoupment or clawback tied to a financial restatement resulting from fraud or willful misconduct.</w:t>
      </w:r>
    </w:p>
    <w:p>
      <w:pPr>
        <w:spacing w:after="0" w:line="12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Corporate Governance Guidelines. </w:t>
      </w:r>
      <w:r>
        <w:rPr>
          <w:rFonts w:ascii="Times New Roman" w:cs="Times New Roman" w:eastAsia="Times New Roman" w:hAnsi="Times New Roman"/>
          <w:sz w:val="17"/>
          <w:szCs w:val="17"/>
          <w:color w:val="auto"/>
        </w:rPr>
        <w:t>The board of directors is committed to sound principles of corporate governance and has established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Governance Guidelines (the “Corporate Governance Guidelines”) that it believes are consistent with our Core Values, and that assist the board of directors in effectively exercising its responsibilities. The Corporate Governance Guidelines provide a framework for our company’s governance and the board of director’s activities, covering such matters as director independence, director orientation and continuing education, director responsibilities, director access to independent advisers and management, annual evaluations of the board of directors and its committees, and other corporate governance practices and principles. Our board of directors periodically, and at least annually, reviews and, as appropriate, revises the Corporate Governance Guidelines to ensure that they reflect the board of director’s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9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objectives and commitments. The Corporate Governance Guidelines are available on our website at www.f-e-t.com under “Corporate Governance” in the “Investors” section.</w:t>
      </w:r>
    </w:p>
    <w:p>
      <w:pPr>
        <w:spacing w:after="0" w:line="133" w:lineRule="exact"/>
        <w:rPr>
          <w:sz w:val="20"/>
          <w:szCs w:val="20"/>
          <w:color w:val="auto"/>
        </w:rPr>
      </w:pPr>
    </w:p>
    <w:p>
      <w:pPr>
        <w:ind w:left="340" w:right="180" w:hanging="318"/>
        <w:spacing w:after="0" w:line="247" w:lineRule="auto"/>
        <w:tabs>
          <w:tab w:leader="none" w:pos="369" w:val="left"/>
        </w:tabs>
        <w:numPr>
          <w:ilvl w:val="0"/>
          <w:numId w:val="9"/>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Six of our eight directors are independent. Mr. Gaut does not qualify as an independent director given his prior service as our President and Chief Executive Officer, and Mr. Lux does not qualify as an independent director given his service as our current President and Chief Executive Officer.</w:t>
      </w:r>
    </w:p>
    <w:p>
      <w:pPr>
        <w:spacing w:after="0" w:line="2" w:lineRule="exact"/>
        <w:rPr>
          <w:rFonts w:ascii="Wingdings" w:cs="Wingdings" w:eastAsia="Wingdings" w:hAnsi="Wingdings"/>
          <w:sz w:val="17"/>
          <w:szCs w:val="17"/>
          <w:b w:val="1"/>
          <w:bCs w:val="1"/>
          <w:color w:val="auto"/>
        </w:rPr>
      </w:pPr>
    </w:p>
    <w:p>
      <w:pPr>
        <w:ind w:left="340" w:right="180" w:hanging="318"/>
        <w:spacing w:after="0" w:line="247" w:lineRule="auto"/>
        <w:tabs>
          <w:tab w:leader="none" w:pos="356" w:val="left"/>
        </w:tabs>
        <w:numPr>
          <w:ilvl w:val="0"/>
          <w:numId w:val="9"/>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Two directors have been formally designated by our board of directors as audit committee financial experts, three other directors would qualify as such, if so designated, and all of our directors would qualify as financially literate, if so designated.</w:t>
      </w:r>
    </w:p>
    <w:p>
      <w:pPr>
        <w:spacing w:after="0" w:line="2" w:lineRule="exact"/>
        <w:rPr>
          <w:rFonts w:ascii="Wingdings" w:cs="Wingdings" w:eastAsia="Wingdings" w:hAnsi="Wingdings"/>
          <w:sz w:val="17"/>
          <w:szCs w:val="17"/>
          <w:b w:val="1"/>
          <w:bCs w:val="1"/>
          <w:color w:val="auto"/>
        </w:rPr>
      </w:pPr>
    </w:p>
    <w:p>
      <w:pPr>
        <w:ind w:left="360" w:hanging="338"/>
        <w:spacing w:after="0"/>
        <w:tabs>
          <w:tab w:leader="none" w:pos="360" w:val="left"/>
        </w:tabs>
        <w:numPr>
          <w:ilvl w:val="0"/>
          <w:numId w:val="9"/>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We have six directors who have served or are serving as a Chief Executive Officer and five directors who have served as a Chief Financial Officer.</w:t>
      </w:r>
    </w:p>
    <w:p>
      <w:pPr>
        <w:spacing w:after="0" w:line="261" w:lineRule="exact"/>
        <w:rPr>
          <w:rFonts w:ascii="Wingdings" w:cs="Wingdings" w:eastAsia="Wingdings" w:hAnsi="Wingdings"/>
          <w:sz w:val="17"/>
          <w:szCs w:val="17"/>
          <w:b w:val="1"/>
          <w:bCs w:val="1"/>
          <w:color w:val="auto"/>
        </w:rPr>
      </w:pPr>
    </w:p>
    <w:p>
      <w:pPr>
        <w:jc w:val="both"/>
        <w:ind w:left="340" w:right="180" w:hanging="318"/>
        <w:spacing w:after="0" w:line="229" w:lineRule="auto"/>
        <w:tabs>
          <w:tab w:leader="none" w:pos="356" w:val="left"/>
        </w:tabs>
        <w:numPr>
          <w:ilvl w:val="0"/>
          <w:numId w:val="9"/>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Diversity and inclusion are part of our values and we believe our board of directors encompasses a diverse mix of perspectives, experiences, geography, gender, and race/ethnicity. To that end, two of our directors are female (one of whom chairs our Audit Committee) and one of our directors is racially/ethnically diverse. As of March 15, 2024, 42% of our non-executive board member seats were held by individuals of under-represented categories on public company boards. Our board of directors is committed to establishing further gender and ethnic diversity.</w:t>
      </w:r>
    </w:p>
    <w:p>
      <w:pPr>
        <w:spacing w:after="0" w:line="23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Director Independence. </w:t>
      </w:r>
      <w:r>
        <w:rPr>
          <w:rFonts w:ascii="Times New Roman" w:cs="Times New Roman" w:eastAsia="Times New Roman" w:hAnsi="Times New Roman"/>
          <w:sz w:val="17"/>
          <w:szCs w:val="17"/>
          <w:color w:val="auto"/>
        </w:rPr>
        <w:t>Our Corporate Governance Guidelines provide that a majority of the members of the board of directors and all of the members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Audit Committee and the Compensation and Human Capital Committee must qualify as “independent directors” in accordance with the NYSE listing standards. In addition, it is the policy of the board of directors that all Audit Committee members also satisfy the criteria for independence under applicable provisions of the Exchange Act and applicable SEC rules. No director is considered independent unless the board of directors affirmatively determines that he or she has no material relationship with us, either directly or as a partner, stockholder or officer of an organization that has a relationship with us. The NYSE listing standards include objective tests that can disqualify a director from being treated as independent, as well as a subjective element, under which the board of directors must affirmatively determine that each independent director has no material relationship with us, either directly or as a partner, stockholder or officer of an organization that has a relationship with us. The board of directors considers all facts and circumstances it deems relevant in making independence determinations.</w:t>
      </w:r>
    </w:p>
    <w:p>
      <w:pPr>
        <w:spacing w:after="0" w:line="338"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Our board of directors has determined that six of our directors (Mses. Angelle and Beyer, and Messrs. Carrig, McShane, Raspino and Rowsey) qualify as “independent directors” in accordance with the listing standards of the NYSE and that each member of the Audit Committee and the Compensation and Human Capital Committee qualifies as “independent” under the heightened NYSE independence standards for members of those committees and applicable SEC rules. In 2023, the board of directors also determined that Mr. Schmitz and Dr. Reichert were independent under these standards during the time on which they served on the board. Mr. Schmitz retired from the board of directors in March 2023, and Dr. Reichert retired from the board of directors in November 2023. In addition, Mr. Gaut does not qualify as independent given his prior service as our President and Chief Executive Officer, and Mr. Lux does not qualify as independent given his current service as our President and Chief Executive Officer.</w:t>
      </w:r>
    </w:p>
    <w:p>
      <w:pPr>
        <w:spacing w:after="0" w:line="1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making its subjective determination that each such director is independent, the board of directors reviewed and discussed information provided by the directors and us with regard to each director’s business and personal activities as they may relate to our company and management. The board of directors considered the transactions in the context of the NYSE’s listing standards, our Corporate Governance Guidelines, and the additional standards established for members of audit committees and compensation committees.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connection with its determination as to the independence of Mr. Schmitz in 2023, our board of directors considered the relationships between us and</w:t>
      </w:r>
    </w:p>
    <w:p>
      <w:pPr>
        <w:spacing w:after="0" w:line="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companies affiliated with Mr. Schmitz. For a description of the agreements and transactions between us and Mr. Schmitz’s affiliates, please see “Conflicts of Interest and Related Person Transactions.” Our board of directors believes that these transactions and relationships did not adversely affect Mr. Schmitz’s ability or willingness to act in the best interests of FET and its stockholders or otherwise compromise his independence. During 2023, FET did not use corporate funds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purpose of political advocacy or campaign contributions. Corporate funds were also not directed to trade organizations with the intent to influence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27" w:name="page28"/>
    <w:bookmarkEnd w:id="27"/>
    <w:p>
      <w:pPr>
        <w:spacing w:after="0" w:line="8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Separation of Chairman and CEO Roles. </w:t>
      </w:r>
      <w:r>
        <w:rPr>
          <w:rFonts w:ascii="Times New Roman" w:cs="Times New Roman" w:eastAsia="Times New Roman" w:hAnsi="Times New Roman"/>
          <w:sz w:val="17"/>
          <w:szCs w:val="17"/>
          <w:color w:val="auto"/>
        </w:rPr>
        <w:t>Our bylaws give the board of directors the flexibility to determine whether the roles of Chairman of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Chief Executive Officer should be combined or separate. The roles of Chief Executive Officer and Chairman are currently separate, with Mr. Gaut, our former President and Chief Executive Officer, serving as Chairman of the board of directors, and Mr. Lux serving as our current President and Chief Executive Officer. We believe separating these roles, while retaining Mr. Gaut in the role of Chairman, allows Mr. Lux to focus on the day-to-day-management of the business and on executing our strategic priorities, while also allowing Mr. Gaut to use his significant level of experience as a chief executive and board chairman in continuing to lead the board of directors and provide advice and counsel to Mr. Lux.</w:t>
      </w:r>
    </w:p>
    <w:p>
      <w:pPr>
        <w:spacing w:after="0" w:line="12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Strong Lead Independent Director. </w:t>
      </w:r>
      <w:r>
        <w:rPr>
          <w:rFonts w:ascii="Times New Roman" w:cs="Times New Roman" w:eastAsia="Times New Roman" w:hAnsi="Times New Roman"/>
          <w:sz w:val="17"/>
          <w:szCs w:val="17"/>
          <w:color w:val="auto"/>
        </w:rPr>
        <w:t>Mr. McShane is our Lead Independent Director, a position he has held since May 2017. As Lead Independent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is responsible for serving as a liaison between the Chairman of the Board and the independent directors, and, if requested by a major stockholder, ensuring he is available for consultation and direct communication with such stockholder. During periods in which the roles of Chairman of the Board and Chief Executive Officer are combined, our Corporate Governance Guidelines provide that there must be a Lead Independent Director; however, our board of directors believes that the appointment of a Lead Independent Director is a governance best practice when the Chairman of the Board is not independent. Since the Company’s initial public offering in 2012, a Lead Independent Director has been appointed at all times.</w:t>
      </w:r>
    </w:p>
    <w:p>
      <w:pPr>
        <w:spacing w:after="0" w:line="12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Executive Sessions. </w:t>
      </w:r>
      <w:r>
        <w:rPr>
          <w:rFonts w:ascii="Times New Roman" w:cs="Times New Roman" w:eastAsia="Times New Roman" w:hAnsi="Times New Roman"/>
          <w:sz w:val="17"/>
          <w:szCs w:val="17"/>
          <w:color w:val="auto"/>
        </w:rPr>
        <w:t>The non-management directors meet regularly in executive session without management participation before and/or after regularly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scheduled board of directors meetings. In addition, our Corporate Governance Guidelines provide that, if the group of non-management directors includes a director who is not independent under NYSE listing standards, the independent directors will meet in executive session at least once annually. As Lead Independent Director, Mr. McShane presides over these meetings of the independent directors. In 2023, our board of directors held at least one executive session at each of its regularly scheduled meetings.</w:t>
      </w:r>
    </w:p>
    <w:p>
      <w:pPr>
        <w:spacing w:after="0" w:line="118"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Board’s Role in Risk Oversight. </w:t>
      </w:r>
      <w:r>
        <w:rPr>
          <w:rFonts w:ascii="Times New Roman" w:cs="Times New Roman" w:eastAsia="Times New Roman" w:hAnsi="Times New Roman"/>
          <w:sz w:val="17"/>
          <w:szCs w:val="17"/>
          <w:color w:val="auto"/>
        </w:rPr>
        <w:t>Our board of directors is actively involved in oversight of risks that could affect us and in making regular assessments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 a priority. This oversight function is conducted primarily through committees of our board of directors, but the full board of directors retains responsibility for the general oversight of risks, including strategic risks. The risks described in this section include those formally monitored at a board of directors or committee level but do not represent a complete list of all areas that are considered and addressed from time to time by the board of directors and its committees. For more information on risks that affect our business, please see our most recent Annual Report on Form 10-K and other filings we make with the SEC. The Audit Committee is charged with oversight of our system of internal controls and risks relating to financial reporting, regulatory and accounting compliance, and litigation. Our board of directors satisfies its oversight responsibility by receiving thorough reports from the Audit Committee chairperson regarding the committee’s considerations and actions, as well as through regular reports directly from officers responsible for the oversight of particular risks. Management has established an enterprise risk management process that includes key leaders within the organization and that is reviewed on an annual basis by the Audit Committee to provide for consistency of risk considerations in making business decisions. Under this framework, management assesses the likelihood and potential impacts of risks within the next three years, and annually reassesses the risk environment. As part of the process that has been implemented, risks impacting the Company, including risks related to human capital, financing, intellectual property and technology, supply chain, macroeconomics, and environmental, social and governance matters, are taken into consideration and presented to the Audit Committee. In addition, we have an independent internal audit department reporting directly to the Audit Committee that reviews adherence to established policies, procedures and accounting controls.</w:t>
      </w:r>
    </w:p>
    <w:p>
      <w:pPr>
        <w:spacing w:after="0" w:line="12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Compensation and Human Capital Committee oversees risks related to our compensation programs and management retention matters. An independent compensation consultant is under retainer by the committee to review compensation and regulatory risks and trends.</w:t>
      </w:r>
    </w:p>
    <w:p>
      <w:pPr>
        <w:spacing w:after="0" w:line="9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NG&amp;S Committee oversees the composition and leadership structure of the board of directors; corporate governance risks; our environmental, social and governance (“ESG”) program and disclosures; information technology matters, including our cybersecurity program; and our overall risk management framework. With the NG&amp;S Committee’s oversight, we developed a Sustainability Report. These disclosures are published on our website at https://f-e-t.com/sustainability/. The inclusion of information in our Sustainability Report should not be construed as a characterization of the materiality or financial impact of that information with respect to us or for purposes of any of our SEC filings. The Company has a Chief Compliance Officer who reports directly to the Chief Executive Officer. Responsibilities of the Chief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28" w:name="page29"/>
    <w:bookmarkEnd w:id="28"/>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Officer include quarterly presentations to the Audit Committee regarding regulatory compliance, litigation, and allegations of misconduct and presentations to the board of directors regarding certain litigation and regulatory matters.</w:t>
      </w:r>
    </w:p>
    <w:p>
      <w:pPr>
        <w:spacing w:after="0" w:line="79" w:lineRule="exact"/>
        <w:rPr>
          <w:sz w:val="20"/>
          <w:szCs w:val="20"/>
          <w:color w:val="auto"/>
        </w:rPr>
      </w:pPr>
    </w:p>
    <w:p>
      <w:pPr>
        <w:jc w:val="both"/>
        <w:ind w:firstLine="470"/>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Information Security. </w:t>
      </w:r>
      <w:r>
        <w:rPr>
          <w:rFonts w:ascii="Times New Roman" w:cs="Times New Roman" w:eastAsia="Times New Roman" w:hAnsi="Times New Roman"/>
          <w:sz w:val="17"/>
          <w:szCs w:val="17"/>
          <w:color w:val="auto"/>
        </w:rPr>
        <w:t>Maintaining and protecting the Company's information and trade secrets is of utmost importance. Our board of directors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delegated the primary responsibility to oversee cybersecurity matters to the Audit Committee. The Audit Committee regularly reviews the measures implemented by the Company to identify and mitigate data protection and cybersecurity risks. As part of such reviews, the Audit Committee receives reports and presentations from members of our team responsible for overseeing the Company’s cybersecurity risk management, including senior members of our IT, Finance and Accounting, and Legal teams. We also regularly engage consultants to assist with assessing, identifying, and managing cybersecurity risks and optimize infrastructure. Our internal cybersecurity team conducts periodic security awareness training for employees. The Company maintains cybersecurity insurance to defray costs associated with an information security breach. There have been no information security breaches in the past three years that have had a material effect on our business strategy, results of operations or financial condition. For more information on our cybersecurity risk management, strategy and governance, see “Item 1C. Cybersecurity” of our Annual Report on Form 10-K for the fiscal year ended December 31, 2023.</w:t>
      </w:r>
    </w:p>
    <w:p>
      <w:pPr>
        <w:spacing w:after="0" w:line="12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Accounting and Auditing Concerns. </w:t>
      </w:r>
      <w:r>
        <w:rPr>
          <w:rFonts w:ascii="Times New Roman" w:cs="Times New Roman" w:eastAsia="Times New Roman" w:hAnsi="Times New Roman"/>
          <w:sz w:val="17"/>
          <w:szCs w:val="17"/>
          <w:color w:val="auto"/>
        </w:rPr>
        <w:t>The Audit Committee has established procedures to receive, retain and treat complaints regarding accounting,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controls or auditing matters and to allow for the confidential and anonymous submission by employees of concerns regarding questionable accounting or auditing matters.</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Communication with the Board. </w:t>
      </w:r>
      <w:r>
        <w:rPr>
          <w:rFonts w:ascii="Times New Roman" w:cs="Times New Roman" w:eastAsia="Times New Roman" w:hAnsi="Times New Roman"/>
          <w:sz w:val="17"/>
          <w:szCs w:val="17"/>
          <w:color w:val="auto"/>
        </w:rPr>
        <w:t>Stockholders and other interested parties may make their concerns known confidentially to the board of directors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or the non-management directors individually (including to the Lead Independent Director) by submitting a communication in an envelope addressed to the “Board of Directors,” a specifically named non-management director or the “Non-Management Directors” as a group, in care of: John C. Ivascu, Executive Vice President, General Counsel, Chief Compliance Officer and Corporate Secretary, 10344 Sam Houston Park Drive, Suite 300, Houston, Texas 77064. All such communications will be conveyed to the Chairman of the Board, the full board of directors, the specified non-management director or the non-management directors as a group, as applicable.</w:t>
      </w:r>
    </w:p>
    <w:p>
      <w:pPr>
        <w:spacing w:after="0" w:line="120"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Trading, Hedging and Pledging Matters. </w:t>
      </w:r>
      <w:r>
        <w:rPr>
          <w:rFonts w:ascii="Times New Roman" w:cs="Times New Roman" w:eastAsia="Times New Roman" w:hAnsi="Times New Roman"/>
          <w:sz w:val="17"/>
          <w:szCs w:val="17"/>
          <w:color w:val="auto"/>
        </w:rPr>
        <w:t>Our Insider Trading Policy applies to all directors, officers, and employees of the Company who receive or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aware of material, non-public information regarding (i) the Company and (ii) any other company with publicly-traded securities, including the Company’s customers, joint-venture or strategic partners, competitors, vendors and suppliers, obtained in the course of employment by or in association with the Company. Our Insider Trading Policy prohibits all directors, officers and employees from engaging in short-term (i.e., short-swing trading) or speculative transactions involving Company stock. Our Insider Trading Policy prohibits the purchase or sale of puts, calls, options and other derivative securities based on Company stock. Our Insider Trading Policy also prohibits short sales, margin accounts, hedging transactions, pledging of Company stock as collateral and, with the exception of Rule 10b5-1 trading plans as noted below, standing orders placed with brokers to sell or purchase Company stock. Our Insider Trading Policy prohibits our directors, officers and employees from purchasing or selling Company stock while in possession of material, non-public information. As such, and in addition to our pre-clearance procedures, our directors, executive officers and certain other employees may only buy or sell Company securities in the public market during specified periods approved by the General Counsel. However, we do permit our directors and employees to adopt and use Rule 10b5-1 trading plans. This allows directors, officers and employees to sell and diversify their holdings in Company stock over a designated period by adopting pre-arranged stock trading plans at a time when they are not aware of material non-public information concerning the Company, and thereafter sell shares of Company stock in accordance with the terms of their stock trading plans.</w:t>
      </w:r>
    </w:p>
    <w:p>
      <w:pPr>
        <w:spacing w:after="0" w:line="129"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Diversity. </w:t>
      </w:r>
      <w:r>
        <w:rPr>
          <w:rFonts w:ascii="Times New Roman" w:cs="Times New Roman" w:eastAsia="Times New Roman" w:hAnsi="Times New Roman"/>
          <w:sz w:val="17"/>
          <w:szCs w:val="17"/>
          <w:color w:val="auto"/>
        </w:rPr>
        <w:t>Our board of directors and executive management are committed to maintaining a workforce that is comprised of qualified individuals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diversity in background and thought. Each of the Company's last two non-executive director appointments were gender or ethnically diverse. Going forward, the board of directors will actively seek to achieve diversity of personal and professional experiences. When assessing qualifications of prospective nominees, it will consider diversity in the broadest sense, including gender, race and ethnicity.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Environmental and Social Commitment.</w:t>
      </w:r>
    </w:p>
    <w:p>
      <w:pPr>
        <w:spacing w:after="0" w:line="170" w:lineRule="exact"/>
        <w:rPr>
          <w:sz w:val="20"/>
          <w:szCs w:val="20"/>
          <w:color w:val="auto"/>
        </w:rPr>
      </w:pPr>
    </w:p>
    <w:p>
      <w:pPr>
        <w:jc w:val="both"/>
        <w:ind w:firstLine="940"/>
        <w:spacing w:after="0" w:line="277" w:lineRule="auto"/>
        <w:rPr>
          <w:sz w:val="20"/>
          <w:szCs w:val="20"/>
          <w:color w:val="auto"/>
        </w:rPr>
      </w:pPr>
      <w:r>
        <w:rPr>
          <w:rFonts w:ascii="Times New Roman" w:cs="Times New Roman" w:eastAsia="Times New Roman" w:hAnsi="Times New Roman"/>
          <w:sz w:val="17"/>
          <w:szCs w:val="17"/>
          <w:color w:val="auto"/>
        </w:rPr>
        <w:t>Environmental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addition to receiving regular reports regarding the Company’s overall safety performance and the actions being taken to achieve the highest level of safety for our employees and customers, the NG&amp;S Committee oversees the Company’s environmental programs and policies. We believe our environmental programs and policies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appropriate for our size, maturity as a publicly traded company and financial capacity. We regularly assess the size and adequacy of our environmental program. We have allocated additional resources to provide a greater level of focus on the improvement of our environmental initiatives. Through these additional resources, we have focused our attention on the Company’s carbon footprint, continued compliance in jurisdictions where we operate and the implementation of environmental programs. We have established an enterprise level environmental policy and we continue to encourage our suppliers to place greater emphasis in this area. In 2023, there were no reportable spills of hazardous waste as defined by the Environmental Protection Agency’s regulations. In 2023, we published our inaugural Sustainability Report covering fiscal year 2022. We are not an “extractive company” and, therefore, do not make payments to governments to unlock wealth from the ground.</w:t>
      </w:r>
    </w:p>
    <w:p>
      <w:pPr>
        <w:spacing w:after="0" w:line="125" w:lineRule="exact"/>
        <w:rPr>
          <w:sz w:val="20"/>
          <w:szCs w:val="20"/>
          <w:color w:val="auto"/>
        </w:rPr>
      </w:pPr>
    </w:p>
    <w:p>
      <w:pPr>
        <w:jc w:val="both"/>
        <w:ind w:firstLine="940"/>
        <w:spacing w:after="0" w:line="266" w:lineRule="auto"/>
        <w:rPr>
          <w:sz w:val="20"/>
          <w:szCs w:val="20"/>
          <w:color w:val="auto"/>
        </w:rPr>
      </w:pPr>
      <w:r>
        <w:rPr>
          <w:rFonts w:ascii="Times New Roman" w:cs="Times New Roman" w:eastAsia="Times New Roman" w:hAnsi="Times New Roman"/>
          <w:sz w:val="17"/>
          <w:szCs w:val="17"/>
          <w:color w:val="auto"/>
        </w:rPr>
        <w:t>As we look ahead, we believe the development of technology that can be utilized by our customers will provide the greatest positive impact on the environment. FET currently manufactures products and equipment, that can improve the energy efficiency and lower the carbon footprint of our customers. In addition, we are taking steps to invest in technologies that further achieve the goal of reducing methane and other greenhouse gas emissions. For example, in December 2021, FET acquired assets of Reach Production Solutions, which is an early stage multiphase compression technology with potential applications in artificial lift and emissions control.</w:t>
      </w:r>
    </w:p>
    <w:p>
      <w:pPr>
        <w:spacing w:after="0" w:line="118" w:lineRule="exact"/>
        <w:rPr>
          <w:sz w:val="20"/>
          <w:szCs w:val="20"/>
          <w:color w:val="auto"/>
        </w:rPr>
      </w:pPr>
    </w:p>
    <w:p>
      <w:pPr>
        <w:jc w:val="both"/>
        <w:ind w:firstLine="940"/>
        <w:spacing w:after="0" w:line="262" w:lineRule="auto"/>
        <w:rPr>
          <w:sz w:val="20"/>
          <w:szCs w:val="20"/>
          <w:color w:val="auto"/>
        </w:rPr>
      </w:pPr>
      <w:r>
        <w:rPr>
          <w:rFonts w:ascii="Times New Roman" w:cs="Times New Roman" w:eastAsia="Times New Roman" w:hAnsi="Times New Roman"/>
          <w:sz w:val="17"/>
          <w:szCs w:val="17"/>
          <w:color w:val="auto"/>
        </w:rPr>
        <w:t>Social: The safety of our employees and customers is our first priority. It is our goal that “No One Gets Hurt,” which is one of our Core Values. Each of our employees is empowered to request a “Stop Work” in the event that they observe an unsafe working environment. In order to further enhance our safety program, we initiated a system to track near-misses and first-aid incidents. In addition, we continue to include safety as a performance measure in our short-term incentive plan in order to further incentivize safe conduct. In 2023, we achieved a Total Recordable Incident Rate ("TRIR") of 1.42 and Perfect Days of 77%. Perfect Days are defined under the plan as those days without a recordable, first aid or environmental incident; property damage; or a motor vehicle accident. The percentage of Perfect Days is equal to the number of Perfect Days divided by 365. Through our focus in this area, our TRIR has decreased by 42% since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90805</wp:posOffset>
            </wp:positionV>
            <wp:extent cx="4774565" cy="2386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74565"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We are also focused on the ethical procurement of products and materials through our supply chain management program. Through our Human Rights Policy Statement and Supplier Code of Conduct, we are focused on ensuring that we and our suppliers protect the human rights of our employees and contractors. It is our expectation that the Human Rights Policy Statement and Supplier Code of Conduct will serve as the backbone for further improvements in this area going forward.</w:t>
      </w:r>
    </w:p>
    <w:p>
      <w:pPr>
        <w:spacing w:after="0" w:line="325"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We are also focused on creating value for our stockholders through our commitment to the communities in which we operate. Furthermore, we are committed to the professional growth of our employees. Through the Company’s succession planning program, our board of directors periodically receives a report regarding the development of high potential employees and actions that are being taken to further their professional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8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Conflict Minerals Policy. </w:t>
      </w:r>
      <w:r>
        <w:rPr>
          <w:rFonts w:ascii="Times New Roman" w:cs="Times New Roman" w:eastAsia="Times New Roman" w:hAnsi="Times New Roman"/>
          <w:sz w:val="17"/>
          <w:szCs w:val="17"/>
          <w:color w:val="auto"/>
        </w:rPr>
        <w:t>Our Conflict Minerals Policy (the “Conflict Minerals Policy”) is another part of our commitment to being a responsible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corporate citizen and complying with SEC regulations requiring publicly traded companies to file annual reports disclosing certain “conflict minerals” (defined as tin, tungsten, tantalum and gold, or their derivatives) that originate from the Democratic Republic of Congo and its adjoining countries and that are necessary to the functionality of products we manufacture or contract to manufacture. We are committed to the responsible sourcing of materials, products and components and to exercising diligence over our sourcing practices so as not to support human rights abuses. We have taken steps to establish a due diligence framework and compliance program and have implemented the Conflict Minerals Policy across the Company. We also communicate to our suppliers our expectation that they will cooperate with our efforts in this area. A copy of the Conflict Minerals Policy is available on our website at </w:t>
      </w:r>
      <w:r>
        <w:rPr>
          <w:rFonts w:ascii="Times New Roman" w:cs="Times New Roman" w:eastAsia="Times New Roman" w:hAnsi="Times New Roman"/>
          <w:sz w:val="17"/>
          <w:szCs w:val="17"/>
          <w:i w:val="1"/>
          <w:iCs w:val="1"/>
          <w:color w:val="auto"/>
        </w:rPr>
        <w:t>www.f-e-t.com</w:t>
      </w:r>
      <w:r>
        <w:rPr>
          <w:rFonts w:ascii="Times New Roman" w:cs="Times New Roman" w:eastAsia="Times New Roman" w:hAnsi="Times New Roman"/>
          <w:sz w:val="17"/>
          <w:szCs w:val="17"/>
          <w:color w:val="auto"/>
        </w:rPr>
        <w:t xml:space="preserve"> under “Corporate Governance” in the “Investor” section.</w:t>
      </w:r>
    </w:p>
    <w:p>
      <w:pPr>
        <w:spacing w:after="0" w:line="12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Stockholder Engagement and Investor Outreach. </w:t>
      </w:r>
      <w:r>
        <w:rPr>
          <w:rFonts w:ascii="Times New Roman" w:cs="Times New Roman" w:eastAsia="Times New Roman" w:hAnsi="Times New Roman"/>
          <w:sz w:val="17"/>
          <w:szCs w:val="17"/>
          <w:color w:val="auto"/>
        </w:rPr>
        <w:t>During the year, we meet with analysts and institutional investors to inform and share our perspective,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to solicit their feedback on our performance. This includes participation in investor conferences and other formal events, and group and one-on-one meetings throughout the year. During 2023, management had discussions with shareholders representing approximately 82% of the approximately 4.9 million shares outstanding (48%) not passively held nor held by investors not required to file ownership information. A key area of focus among our stockholders was for the Company to use capital to increase its size. Following these meetings, management pursued a number of acquisition targets and in November 2023, the Company entered into an agreement to acquire Variperm Energy Services. This transformative acquisition significantly increased the Company's revenue, EBITDA and free cash flow.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Organization of the 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The Audit Committee currently consists of Ms. Evelyn M. Angelle (Chairperson) and Messrs. John A. Carrig and Paul E. Rowsey III.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of directors has determined that Ms. Angelle and Mr. Carrig are each an “audit committee financial expert” as defined by applicable SEC rules. The Audit Committee’s purposes are, among other things, to assist the board of directors with overseeing:</w:t>
      </w:r>
    </w:p>
    <w:p>
      <w:pPr>
        <w:spacing w:after="0" w:line="56" w:lineRule="exact"/>
        <w:rPr>
          <w:sz w:val="20"/>
          <w:szCs w:val="20"/>
          <w:color w:val="auto"/>
        </w:rPr>
      </w:pPr>
    </w:p>
    <w:p>
      <w:pPr>
        <w:ind w:left="940" w:hanging="34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integrity of our financial statements;</w:t>
      </w:r>
    </w:p>
    <w:p>
      <w:pPr>
        <w:spacing w:after="0" w:line="117"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legal and regulatory requirements;</w:t>
      </w:r>
    </w:p>
    <w:p>
      <w:pPr>
        <w:spacing w:after="0" w:line="117"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independence and performance of, and selection process for, our independent auditors; and</w:t>
      </w:r>
    </w:p>
    <w:p>
      <w:pPr>
        <w:spacing w:after="0" w:line="117"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and performance of our internal audit function.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the Audit Committee has primary responsibility to oversee cybersecurity matters. The Audit Committee held seven meetings during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board of directors has adopted a written charter for the Audit Committee, which is available on our website at </w:t>
      </w:r>
      <w:r>
        <w:rPr>
          <w:rFonts w:ascii="Times New Roman" w:cs="Times New Roman" w:eastAsia="Times New Roman" w:hAnsi="Times New Roman"/>
          <w:sz w:val="17"/>
          <w:szCs w:val="17"/>
          <w:i w:val="1"/>
          <w:iCs w:val="1"/>
          <w:color w:val="auto"/>
        </w:rPr>
        <w:t>www.f-e-t.com</w:t>
      </w:r>
      <w:r>
        <w:rPr>
          <w:rFonts w:ascii="Times New Roman" w:cs="Times New Roman" w:eastAsia="Times New Roman" w:hAnsi="Times New Roman"/>
          <w:sz w:val="17"/>
          <w:szCs w:val="17"/>
          <w:color w:val="auto"/>
        </w:rPr>
        <w:t xml:space="preserve"> as described above.</w:t>
      </w:r>
    </w:p>
    <w:p>
      <w:pPr>
        <w:spacing w:after="0" w:line="98"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Compensation and Human Capital Committee. </w:t>
      </w:r>
      <w:r>
        <w:rPr>
          <w:rFonts w:ascii="Times New Roman" w:cs="Times New Roman" w:eastAsia="Times New Roman" w:hAnsi="Times New Roman"/>
          <w:sz w:val="17"/>
          <w:szCs w:val="17"/>
          <w:color w:val="auto"/>
        </w:rPr>
        <w:t>The Compensation and Human Capital Committee currently consists of Messrs. Louis A. Raspino, Jr.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Paul E. Rowsey III, and Michael McShane. Each of Messrs. Raspino, Rowsey and McShane is a “non-employee director” as defined under Rule 16b-3 of the Exchange Act. The purposes of the Compensation and Human Capital Committee are, among others, to:</w:t>
      </w:r>
    </w:p>
    <w:p>
      <w:pPr>
        <w:spacing w:after="0" w:line="161" w:lineRule="exact"/>
        <w:rPr>
          <w:sz w:val="20"/>
          <w:szCs w:val="20"/>
          <w:color w:val="auto"/>
        </w:rPr>
      </w:pPr>
    </w:p>
    <w:p>
      <w:pPr>
        <w:ind w:left="940" w:hanging="348"/>
        <w:spacing w:after="0" w:line="295" w:lineRule="auto"/>
        <w:tabs>
          <w:tab w:leader="none" w:pos="8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or recommend, as applicable, corporate compensation goals and objectives relevant to our Chief Executive Officer and other executive officers;</w:t>
      </w:r>
    </w:p>
    <w:p>
      <w:pPr>
        <w:spacing w:after="0" w:line="146" w:lineRule="exact"/>
        <w:rPr>
          <w:rFonts w:ascii="Times New Roman" w:cs="Times New Roman" w:eastAsia="Times New Roman" w:hAnsi="Times New Roman"/>
          <w:sz w:val="17"/>
          <w:szCs w:val="17"/>
          <w:color w:val="auto"/>
        </w:rPr>
      </w:pPr>
    </w:p>
    <w:p>
      <w:pPr>
        <w:ind w:left="940" w:hanging="348"/>
        <w:spacing w:after="0" w:line="295" w:lineRule="auto"/>
        <w:tabs>
          <w:tab w:leader="none" w:pos="83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with our board of directors, taking into account the Company’s compensation goals and objectives, the performance of our Chief Executive Officer and, in consultation with the Chief Executive Officer, our other executive officers;</w:t>
      </w:r>
    </w:p>
    <w:p>
      <w:pPr>
        <w:spacing w:after="0" w:line="146" w:lineRule="exact"/>
        <w:rPr>
          <w:rFonts w:ascii="Times New Roman" w:cs="Times New Roman" w:eastAsia="Times New Roman" w:hAnsi="Times New Roman"/>
          <w:sz w:val="17"/>
          <w:szCs w:val="17"/>
          <w:color w:val="auto"/>
        </w:rPr>
      </w:pPr>
    </w:p>
    <w:p>
      <w:pPr>
        <w:ind w:left="940" w:hanging="348"/>
        <w:spacing w:after="0" w:line="295" w:lineRule="auto"/>
        <w:tabs>
          <w:tab w:leader="none" w:pos="86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evaluate and approve or recommend, as applicable, our agreements, plans, policies and programs to compensate our executive officers, in light of our goals and objectives relative to executive compensation, and our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600"/>
        <w:spacing w:after="0"/>
        <w:tabs>
          <w:tab w:leader="none" w:pos="800" w:val="left"/>
        </w:tabs>
        <w:rPr>
          <w:sz w:val="20"/>
          <w:szCs w:val="20"/>
          <w:color w:val="auto"/>
        </w:rPr>
      </w:pPr>
      <w:r>
        <w:rPr>
          <w:rFonts w:ascii="Times New Roman" w:cs="Times New Roman" w:eastAsia="Times New Roman" w:hAnsi="Times New Roman"/>
          <w:sz w:val="17"/>
          <w:szCs w:val="17"/>
          <w:color w:val="auto"/>
        </w:rPr>
        <w:t>•</w:t>
        <w:tab/>
        <w:t>Perform such other functions as the board of directors may assign to the Compensation and Human Capital Committee from time to time.</w:t>
      </w:r>
    </w:p>
    <w:p>
      <w:pPr>
        <w:spacing w:after="0" w:line="274"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 xml:space="preserve">The Compensation and Human Capital Committee may delegate to its Chairman, any one of its members or any subcommittee it may form, the responsibility and authority for any particular matter, as it deems appropriate from time to time under the circumstances. Three committee meetings were held during 2023. The board of directors has adopted a written charter for the Compensation and Human Capital Committee, which is available on our website at </w:t>
      </w:r>
      <w:r>
        <w:rPr>
          <w:rFonts w:ascii="Times New Roman" w:cs="Times New Roman" w:eastAsia="Times New Roman" w:hAnsi="Times New Roman"/>
          <w:sz w:val="17"/>
          <w:szCs w:val="17"/>
          <w:i w:val="1"/>
          <w:iCs w:val="1"/>
          <w:color w:val="auto"/>
        </w:rPr>
        <w:t xml:space="preserve">www.f-e-t.com </w:t>
      </w:r>
      <w:r>
        <w:rPr>
          <w:rFonts w:ascii="Times New Roman" w:cs="Times New Roman" w:eastAsia="Times New Roman" w:hAnsi="Times New Roman"/>
          <w:sz w:val="17"/>
          <w:szCs w:val="17"/>
          <w:color w:val="auto"/>
        </w:rPr>
        <w:t>as described above.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 xml:space="preserve">Nominating, Governance and Sustainability Committee. </w:t>
      </w:r>
      <w:r>
        <w:rPr>
          <w:rFonts w:ascii="Times New Roman" w:cs="Times New Roman" w:eastAsia="Times New Roman" w:hAnsi="Times New Roman"/>
          <w:sz w:val="17"/>
          <w:szCs w:val="17"/>
          <w:color w:val="auto"/>
        </w:rPr>
        <w:t>The NG&amp;S Committee currently consists of Mr. John A. Carrig (Chairperson), Mses. Evelyn 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Angelle and Leslie A. Beyer. The purposes of the NG&amp;S Committee are, among others, to:</w:t>
      </w:r>
    </w:p>
    <w:p>
      <w:pPr>
        <w:spacing w:after="0" w:line="100" w:lineRule="exact"/>
        <w:rPr>
          <w:sz w:val="20"/>
          <w:szCs w:val="20"/>
          <w:color w:val="auto"/>
        </w:rPr>
      </w:pPr>
    </w:p>
    <w:p>
      <w:pPr>
        <w:ind w:left="940" w:hanging="348"/>
        <w:spacing w:after="0" w:line="295"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Advise the board of directors and make recommendations regarding appropriate corporate governance practices, and assist the board of directors in implementing those practices;</w:t>
      </w:r>
    </w:p>
    <w:p>
      <w:pPr>
        <w:spacing w:after="0" w:line="41" w:lineRule="exact"/>
        <w:rPr>
          <w:rFonts w:ascii="Times New Roman" w:cs="Times New Roman" w:eastAsia="Times New Roman" w:hAnsi="Times New Roman"/>
          <w:sz w:val="17"/>
          <w:szCs w:val="17"/>
          <w:color w:val="auto"/>
        </w:rPr>
      </w:pPr>
    </w:p>
    <w:p>
      <w:pPr>
        <w:ind w:left="940" w:hanging="348"/>
        <w:spacing w:after="0" w:line="295"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the board of directors by identifying individuals qualified to become members of the board of directors, and recommending director nominees to the board of directors;</w:t>
      </w:r>
    </w:p>
    <w:p>
      <w:pPr>
        <w:spacing w:after="0" w:line="41"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Advise as to the appropriate composition of the board of directors and its committees;</w:t>
      </w:r>
    </w:p>
    <w:p>
      <w:pPr>
        <w:spacing w:after="0" w:line="117" w:lineRule="exact"/>
        <w:rPr>
          <w:rFonts w:ascii="Times New Roman" w:cs="Times New Roman" w:eastAsia="Times New Roman" w:hAnsi="Times New Roman"/>
          <w:sz w:val="17"/>
          <w:szCs w:val="17"/>
          <w:color w:val="auto"/>
        </w:rPr>
      </w:pPr>
    </w:p>
    <w:p>
      <w:pPr>
        <w:ind w:left="940" w:hanging="348"/>
        <w:spacing w:after="0" w:line="295"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sustainability matters, including through the review of relevant metrics, emerging trends, our overall performance, risks and opportunity assessments and management processes related to the Company’s ESG program; and</w:t>
      </w:r>
    </w:p>
    <w:p>
      <w:pPr>
        <w:spacing w:after="0" w:line="41"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such other functions as the board of directors may assign to the NG&amp;S Committee from time to time.</w:t>
      </w:r>
    </w:p>
    <w:p>
      <w:pPr>
        <w:spacing w:after="0" w:line="1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NG&amp;S Committee establishes, and reviews and approves the criteria, of the annual evaluation for the board of directors, its committees, and the Chief Executive Officer. The NG&amp;S Committee Chairperson, Lead Independent Director, and Chairman review the results of each of the evaluations and lead discussions with the board of directors on each evaluation. Following the board of director’s review of the Chief Executive Officer evaluation, the Lead Independent Director or Chairman reviews the results with the Chief Executive Officer. In addition, the NG&amp;S Committee receives a health and safety report from management at every regularly scheduled meeting.</w:t>
      </w:r>
    </w:p>
    <w:p>
      <w:pPr>
        <w:spacing w:after="0" w:line="118"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 xml:space="preserve">The NG&amp;S Committee held three meetings during 2023. The board of directors has adopted a written charter for the NG&amp;S Committee, which is available on our website at </w:t>
      </w:r>
      <w:r>
        <w:rPr>
          <w:rFonts w:ascii="Times New Roman" w:cs="Times New Roman" w:eastAsia="Times New Roman" w:hAnsi="Times New Roman"/>
          <w:sz w:val="17"/>
          <w:szCs w:val="17"/>
          <w:i w:val="1"/>
          <w:iCs w:val="1"/>
          <w:color w:val="auto"/>
        </w:rPr>
        <w:t>www.f-e-t.com</w:t>
      </w:r>
      <w:r>
        <w:rPr>
          <w:rFonts w:ascii="Times New Roman" w:cs="Times New Roman" w:eastAsia="Times New Roman" w:hAnsi="Times New Roman"/>
          <w:sz w:val="17"/>
          <w:szCs w:val="17"/>
          <w:color w:val="auto"/>
        </w:rPr>
        <w:t xml:space="preserve"> as described above. The NG&amp;S Committee reports to the board of directors regarding the oversight responsibilities that have been delegated, including climate related risks and opportunities.</w:t>
      </w:r>
    </w:p>
    <w:p>
      <w:pPr>
        <w:spacing w:after="0" w:line="11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Director nominees are identified and considered for appointment to our board of directors after taking into consideration the individual's demonstrated record of leadership, financial and operations expertise, industry experience, demographics and any other skills deemed relevant. Although the board of directors does not have a formal diversity policy, the NG&amp;S Committee, when assessing the qualifications of prospective nominees to the board of directors, considers diversity in its broadest sense, including persons diverse in perspectives, personal and professional experiences, geography, gender, race and ethnicity. As part of the search process for each new director, the NG&amp;S Committee actively seeks out women and minority candidates to include in the pool from which director nominees are chosen (and affirmatively instructs any search firm the NG&amp;S Committee engages to do so). From time to time, the NG&amp;S Committee assesses the Company's effectiveness with regard to achieving diversity on the board of directors. Each nominee’s personal and professional integrity, experience, skills, ability and willingness to devote the time and effort necessary to be an effective board member, and commitment to acting in the Company’s best interests and our stockholders, are also factors considered by the NG&amp;S Committee.</w:t>
      </w:r>
    </w:p>
    <w:p>
      <w:pPr>
        <w:spacing w:after="0" w:line="12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NG&amp;S Committee will consider director candidates recommended by stockholders. If a stockholder wishes to recommend a director for nomination by the NG&amp;S Committee, the stockholder should submit the recommendation in writing to the Chairperson, Nominating, Governance and Sustainability Committee, in care of John C. Ivascu, Executive Vice President, General Counsel, Chief Compliance Officer and Corporate Secretary, 10344 Sam Houston Park Drive, Suite 300, Houston, Texas 77064. The recommendation should contain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39" w:lineRule="exact"/>
        <w:rPr>
          <w:sz w:val="20"/>
          <w:szCs w:val="20"/>
          <w:color w:val="auto"/>
        </w:rPr>
      </w:pPr>
    </w:p>
    <w:p>
      <w:pPr>
        <w:ind w:left="940" w:hanging="348"/>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residence address of the nominee and the name and address of the stockholder making the nomination;</w:t>
      </w:r>
    </w:p>
    <w:p>
      <w:pPr>
        <w:spacing w:after="0" w:line="117"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occupation or employment of the nominee;</w:t>
      </w:r>
    </w:p>
    <w:p>
      <w:pPr>
        <w:spacing w:after="0" w:line="117" w:lineRule="exact"/>
        <w:rPr>
          <w:rFonts w:ascii="Times New Roman" w:cs="Times New Roman" w:eastAsia="Times New Roman" w:hAnsi="Times New Roman"/>
          <w:sz w:val="17"/>
          <w:szCs w:val="17"/>
          <w:color w:val="auto"/>
        </w:rPr>
      </w:pPr>
    </w:p>
    <w:p>
      <w:pPr>
        <w:ind w:left="940" w:hanging="348"/>
        <w:spacing w:after="0" w:line="295"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each class or series of our capital stock beneficially owned by the nominee and the stockholder and the period for which those shares have been owned; and</w:t>
      </w:r>
    </w:p>
    <w:p>
      <w:pPr>
        <w:spacing w:after="0" w:line="41"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the stockholder may deem relevant to the committee’s evaluation.</w:t>
      </w:r>
    </w:p>
    <w:p>
      <w:pPr>
        <w:spacing w:after="0" w:line="22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Candidates recommended by stockholders are evaluated on the same basis as candidates recommended by our directors, executive officers, third-party search firms or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53" w:lineRule="exact"/>
        <w:rPr>
          <w:sz w:val="20"/>
          <w:szCs w:val="20"/>
          <w:color w:val="auto"/>
        </w:rPr>
      </w:pPr>
    </w:p>
    <w:p>
      <w:pPr>
        <w:ind w:right="2200" w:firstLine="2204"/>
        <w:spacing w:after="0" w:line="488" w:lineRule="auto"/>
        <w:rPr>
          <w:sz w:val="20"/>
          <w:szCs w:val="20"/>
          <w:color w:val="auto"/>
        </w:rPr>
      </w:pPr>
      <w:r>
        <w:rPr>
          <w:rFonts w:ascii="Times New Roman" w:cs="Times New Roman" w:eastAsia="Times New Roman" w:hAnsi="Times New Roman"/>
          <w:sz w:val="21"/>
          <w:szCs w:val="21"/>
          <w:b w:val="1"/>
          <w:bCs w:val="1"/>
          <w:color w:val="auto"/>
        </w:rPr>
        <w:t>CONFLICTS OF INTEREST AND RELATED PERSON TRANSACTIONS Procedures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5" w:lineRule="exact"/>
        <w:rPr>
          <w:sz w:val="20"/>
          <w:szCs w:val="20"/>
          <w:color w:val="auto"/>
        </w:rPr>
      </w:pPr>
    </w:p>
    <w:p>
      <w:pPr>
        <w:jc w:val="both"/>
        <w:ind w:firstLine="470"/>
        <w:spacing w:after="0" w:line="287"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263" w:lineRule="exact"/>
        <w:rPr>
          <w:sz w:val="20"/>
          <w:szCs w:val="20"/>
          <w:color w:val="auto"/>
        </w:rPr>
      </w:pPr>
    </w:p>
    <w:p>
      <w:pPr>
        <w:ind w:left="940" w:hanging="46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our executive officers or one of our directors;</w:t>
      </w:r>
    </w:p>
    <w:p>
      <w:pPr>
        <w:spacing w:after="0" w:line="117" w:lineRule="exact"/>
        <w:rPr>
          <w:rFonts w:ascii="Times New Roman" w:cs="Times New Roman" w:eastAsia="Times New Roman" w:hAnsi="Times New Roman"/>
          <w:sz w:val="17"/>
          <w:szCs w:val="17"/>
          <w:color w:val="auto"/>
        </w:rPr>
      </w:pPr>
    </w:p>
    <w:p>
      <w:pPr>
        <w:ind w:left="940" w:hanging="46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us to be the beneficial owner of more than 5% of our common stock;</w:t>
      </w:r>
    </w:p>
    <w:p>
      <w:pPr>
        <w:spacing w:after="0" w:line="117" w:lineRule="exact"/>
        <w:rPr>
          <w:rFonts w:ascii="Times New Roman" w:cs="Times New Roman" w:eastAsia="Times New Roman" w:hAnsi="Times New Roman"/>
          <w:sz w:val="17"/>
          <w:szCs w:val="17"/>
          <w:color w:val="auto"/>
        </w:rPr>
      </w:pPr>
    </w:p>
    <w:p>
      <w:pPr>
        <w:jc w:val="both"/>
        <w:ind w:left="940" w:hanging="466"/>
        <w:spacing w:after="0" w:line="269"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spacing w:after="0" w:line="63" w:lineRule="exact"/>
        <w:rPr>
          <w:rFonts w:ascii="Times New Roman" w:cs="Times New Roman" w:eastAsia="Times New Roman" w:hAnsi="Times New Roman"/>
          <w:sz w:val="17"/>
          <w:szCs w:val="17"/>
          <w:color w:val="auto"/>
        </w:rPr>
      </w:pPr>
    </w:p>
    <w:p>
      <w:pPr>
        <w:ind w:left="940" w:hanging="466"/>
        <w:spacing w:after="0" w:line="29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9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board of directors has adopted a written related person transactions policy, pursuant to which the Audit Committee reviews all material facts of all related party transactions and either approves or disapproves entry into the transaction, subject to certain limited exceptions. In determining whether to approve or disapprove entry into a related party transaction, the Audit Committee takes into account, among other factors, the following: (1) whether the transaction is on terms no less favorable than terms generally available to an unaffiliated third-party under the same or similar circumstances, (2) the extent of the related person’s interest in the transaction, and (3) whether the transaction is material to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Transactions with our significant stockholders,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During 2022 and 2023, a subsidiary of FET sold and purchased products and equipment to and from Endurance Lift Holdings LLC (“Endurance Lift”). FET recognized revenue and made payments in an aggregate amount totaling approximately $0.8 million in 2022 and $2 million in 2023 from such sales and purchases. Mr. Schmitz is the Chief Executive Officer of Endurance Lift. These sales and purchases were made based on arms-length terms between the parties and represent less than 1% of the consolidated gross revenues for 2022 and 2023 for FET and less than 1% of Endurance Lift’s 2022 and 2023 consolidated gross revenues. Mr. Schmitz retired from our board of directors in March 2023.</w:t>
      </w:r>
    </w:p>
    <w:p>
      <w:pPr>
        <w:spacing w:after="0" w:line="118"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During 2022 and 2023, a subsidiary of FET sold equipment to Axis Energy Services, LLC (“Axis”). FET recognized revenue in an aggregate amount totaling approximately $0.5 million in 2022 and 2023. Mr. Schmitz is a member of the board of directors of Axis. These sales and purchases were made based on arms-length terms between the parties and represent less than 1% of the consolidated gross revenues for 2022 and 2023 for FET and Axis.</w:t>
      </w:r>
    </w:p>
    <w:p>
      <w:pPr>
        <w:spacing w:after="0" w:line="11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January 4, 2024 (the “Closing Date”), the Company consummated the acquisition (the “Variperm Acquisition”) of Variperm Holdings Ltd. (“Variperm”) for total consideration of approximately $150.0 million of cash and 2.0 million shares of the Company’s common stock (the “Shares”), subject to customary purchase price adjustments set forth in the related purchase agreement. As a result of the Variperm Acquisition, Variperm Energy Services Partnership (“Partnership”) and Slotting RemainCo Limited Partnership (“RemainCo” and, together with Partnership, the “Sellers”) each beneficially owned more than 5% of the Company’s outstanding common stock. Partnership received 1,034,343 shares of common stock and $45,746,368 in cash and RemainCo received 881,105 shares of common stock and $38,969,170 in cash in the Variperm Acquisition.</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To fund a portion of the purchase price, the Company entered into a $60.0 million Second Lien Seller Term Loan Credit Agreement (“Seller Term Loan”) with the Variperm shareholders, including the Sellers, and certain other lenders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Closing Date. The Seller Term Loan matures in December 2026 and bears interest at the rate of (i) 11.0% per year for the period commencing on the Closing Date through the first anniversary of the Closing Date, (ii) 17.0% per annum for the period commencing on the first anniversary of the Closing Date through the second anniversary of the Closing Date and (iii) 17.5% per annum for the period commencing on the second anniversary of the Closing Date through the maturity date. In connection with the finalization of purchase price adjustments, the principal amount of the Seller Term Loan was reduced by approximately $0.3 million. In addition, the Company will make an interest payment on the Seller Term Loan in March 2024 equal to $1.6 million.</w:t>
      </w:r>
    </w:p>
    <w:p>
      <w:pPr>
        <w:spacing w:after="0" w:line="118"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On the Closing Date, the Company and the Sellers entered into an investor rights agreement providing for (i) a 180-day lock-up on transfers of the Shares after the Closing Date, subject to certain exceptions, (ii) customary registration rights under the Securities Act of 1933, as amended, (iii) a standstill and (iv) a voting agreement as to routine voting items at the 2024 annual meeting. The standstill and the voting agreement cease to apply to either Seller at the earlier of (a) the time such Seller beneficially owns less than 5.0% of the Company’s outstanding common stock or (b) two years from the Closing Date. Pursuant to the voting agreement, Partnership has agreed to vote its shares of Company common stock in accordance with the recommendations of our board of directors with respect to each of the items to be considered at the 2024 annual meeting. RemainCo no longer beneficially owns 5.0% of the Company’s common stock and is therefore no longer bound by the standstill or the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PROPOSAL 2: ADVISORY RESOLUTION TO APPROVE EXECUTIVE COMPENSATION</w:t>
      </w:r>
    </w:p>
    <w:p>
      <w:pPr>
        <w:spacing w:after="0" w:line="98"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In accordance with Section 14A of the Exchange Act and the related rules of the SEC, we are providing our stockholders with the opportunity to approve, on a non-binding, advisory basis, the compensation of our named executive officers. This item, commonly referred to as a “say-on-pay” vote, provides you, as a stockholder, the opportunity to express your views regarding the compensation of our named executive officers as disclosed in this proxy statement.</w:t>
      </w:r>
    </w:p>
    <w:p>
      <w:pPr>
        <w:spacing w:after="0" w:line="16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executive compensation program is designed to attract, motivate and retain our talented executive officers, who are critical to our success. Under our program, our named executive officers are rewarded for strong corporate performance, the achievement of annual goals and the realization of increased stockholder value. Please read the “Executive Compensation” section below for additional details about our executive compensation programs, including information about the fiscal year 2023 compensation of our named executive officers.</w:t>
      </w:r>
    </w:p>
    <w:p>
      <w:pPr>
        <w:spacing w:after="0" w:line="168"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Compensation and Human Capital Committee oversees the compensation program for our named executive officers to ensure the program achieves the desired goals of aligning our executive compensation structure with our stockholders’ interests and current market practices. We believe our executive compensation program achieves the following objectives:</w:t>
      </w:r>
    </w:p>
    <w:p>
      <w:pPr>
        <w:spacing w:after="0" w:line="59" w:lineRule="exact"/>
        <w:rPr>
          <w:sz w:val="20"/>
          <w:szCs w:val="20"/>
          <w:color w:val="auto"/>
        </w:rPr>
      </w:pPr>
    </w:p>
    <w:p>
      <w:pPr>
        <w:ind w:left="940" w:hanging="46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our executives to achieve key safety, operating, and financial performance goals that enhance long-term stockholder value;</w:t>
      </w:r>
    </w:p>
    <w:p>
      <w:pPr>
        <w:spacing w:after="0" w:line="117" w:lineRule="exact"/>
        <w:rPr>
          <w:rFonts w:ascii="Times New Roman" w:cs="Times New Roman" w:eastAsia="Times New Roman" w:hAnsi="Times New Roman"/>
          <w:sz w:val="17"/>
          <w:szCs w:val="17"/>
          <w:color w:val="auto"/>
        </w:rPr>
      </w:pPr>
    </w:p>
    <w:p>
      <w:pPr>
        <w:ind w:left="940" w:hanging="46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outstanding performance in achieving these goals without subjecting us to excessive or unnecessary risk; and</w:t>
      </w:r>
    </w:p>
    <w:p>
      <w:pPr>
        <w:spacing w:after="0" w:line="117" w:lineRule="exact"/>
        <w:rPr>
          <w:rFonts w:ascii="Times New Roman" w:cs="Times New Roman" w:eastAsia="Times New Roman" w:hAnsi="Times New Roman"/>
          <w:sz w:val="17"/>
          <w:szCs w:val="17"/>
          <w:color w:val="auto"/>
        </w:rPr>
      </w:pPr>
    </w:p>
    <w:p>
      <w:pPr>
        <w:ind w:left="940" w:hanging="466"/>
        <w:spacing w:after="0" w:line="295"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a competitive executive compensation program that enables us to attract, motivate and retain experienced and highly capable executives who will contribute to our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38100</wp:posOffset>
            </wp:positionV>
            <wp:extent cx="5205730" cy="3124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05730" cy="312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To support our compensation and governance philosophy, we have adopted the following “best practices”:</w:t>
      </w:r>
    </w:p>
    <w:p>
      <w:pPr>
        <w:spacing w:after="0" w:line="142" w:lineRule="exact"/>
        <w:rPr>
          <w:sz w:val="20"/>
          <w:szCs w:val="20"/>
          <w:color w:val="auto"/>
        </w:rPr>
      </w:pPr>
    </w:p>
    <w:tbl>
      <w:tblPr>
        <w:tblLayout w:type="fixed"/>
        <w:tblInd w:w="490" w:type="dxa"/>
        <w:tblCellMar>
          <w:top w:w="0" w:type="dxa"/>
          <w:left w:w="0" w:type="dxa"/>
          <w:bottom w:w="0" w:type="dxa"/>
          <w:right w:w="0" w:type="dxa"/>
        </w:tblCellMar>
      </w:tblPr>
      <w:tr>
        <w:trPr>
          <w:trHeight w:val="227"/>
        </w:trPr>
        <w:tc>
          <w:tcPr>
            <w:tcW w:w="280" w:type="dxa"/>
            <w:vAlign w:val="bottom"/>
            <w:tcBorders>
              <w:top w:val="single" w:sz="8" w:color="auto"/>
              <w:left w:val="single" w:sz="8" w:color="auto"/>
              <w:bottom w:val="single" w:sz="8" w:color="051E68"/>
              <w:right w:val="single" w:sz="8" w:color="051E68"/>
            </w:tcBorders>
            <w:shd w:val="clear" w:color="auto" w:fill="051E68"/>
          </w:tcPr>
          <w:p>
            <w:pPr>
              <w:spacing w:after="0"/>
              <w:rPr>
                <w:sz w:val="19"/>
                <w:szCs w:val="19"/>
                <w:color w:val="auto"/>
              </w:rPr>
            </w:pPr>
          </w:p>
        </w:tc>
        <w:tc>
          <w:tcPr>
            <w:tcW w:w="4560" w:type="dxa"/>
            <w:vAlign w:val="bottom"/>
            <w:tcBorders>
              <w:top w:val="single" w:sz="8" w:color="auto"/>
              <w:bottom w:val="single" w:sz="8" w:color="051E68"/>
              <w:right w:val="single" w:sz="8" w:color="051E68"/>
            </w:tcBorders>
            <w:shd w:val="clear" w:color="auto" w:fill="051E68"/>
          </w:tcPr>
          <w:p>
            <w:pPr>
              <w:ind w:left="1740"/>
              <w:spacing w:after="0"/>
              <w:rPr>
                <w:sz w:val="20"/>
                <w:szCs w:val="20"/>
                <w:color w:val="auto"/>
              </w:rPr>
            </w:pPr>
            <w:r>
              <w:rPr>
                <w:rFonts w:ascii="Times New Roman" w:cs="Times New Roman" w:eastAsia="Times New Roman" w:hAnsi="Times New Roman"/>
                <w:sz w:val="14"/>
                <w:szCs w:val="14"/>
                <w:b w:val="1"/>
                <w:bCs w:val="1"/>
                <w:color w:val="FFFFFF"/>
              </w:rPr>
              <w:t>What We Do:</w:t>
            </w:r>
          </w:p>
        </w:tc>
        <w:tc>
          <w:tcPr>
            <w:tcW w:w="280" w:type="dxa"/>
            <w:vAlign w:val="bottom"/>
            <w:tcBorders>
              <w:top w:val="single" w:sz="8" w:color="auto"/>
              <w:bottom w:val="single" w:sz="8" w:color="051E68"/>
              <w:right w:val="single" w:sz="8" w:color="051E68"/>
            </w:tcBorders>
            <w:shd w:val="clear" w:color="auto" w:fill="051E68"/>
          </w:tcPr>
          <w:p>
            <w:pPr>
              <w:spacing w:after="0"/>
              <w:rPr>
                <w:sz w:val="19"/>
                <w:szCs w:val="19"/>
                <w:color w:val="auto"/>
              </w:rPr>
            </w:pPr>
          </w:p>
        </w:tc>
        <w:tc>
          <w:tcPr>
            <w:tcW w:w="820" w:type="dxa"/>
            <w:vAlign w:val="bottom"/>
            <w:tcBorders>
              <w:top w:val="single" w:sz="8" w:color="auto"/>
              <w:bottom w:val="single" w:sz="8" w:color="051E68"/>
            </w:tcBorders>
            <w:shd w:val="clear" w:color="auto" w:fill="051E68"/>
          </w:tcPr>
          <w:p>
            <w:pPr>
              <w:spacing w:after="0"/>
              <w:rPr>
                <w:sz w:val="19"/>
                <w:szCs w:val="19"/>
                <w:color w:val="auto"/>
              </w:rPr>
            </w:pPr>
          </w:p>
        </w:tc>
        <w:tc>
          <w:tcPr>
            <w:tcW w:w="3760" w:type="dxa"/>
            <w:vAlign w:val="bottom"/>
            <w:tcBorders>
              <w:top w:val="single" w:sz="8" w:color="auto"/>
              <w:bottom w:val="single" w:sz="8" w:color="051E68"/>
              <w:right w:val="single" w:sz="8" w:color="auto"/>
            </w:tcBorders>
            <w:gridSpan w:val="2"/>
            <w:shd w:val="clear" w:color="auto" w:fill="051E68"/>
          </w:tcPr>
          <w:p>
            <w:pPr>
              <w:jc w:val="right"/>
              <w:ind w:right="1713"/>
              <w:spacing w:after="0"/>
              <w:rPr>
                <w:sz w:val="20"/>
                <w:szCs w:val="20"/>
                <w:color w:val="auto"/>
              </w:rPr>
            </w:pPr>
            <w:r>
              <w:rPr>
                <w:rFonts w:ascii="Times New Roman" w:cs="Times New Roman" w:eastAsia="Times New Roman" w:hAnsi="Times New Roman"/>
                <w:sz w:val="14"/>
                <w:szCs w:val="14"/>
                <w:b w:val="1"/>
                <w:bCs w:val="1"/>
                <w:color w:val="FFFFFF"/>
              </w:rPr>
              <w:t>What We Don’t Do:</w:t>
            </w:r>
          </w:p>
        </w:tc>
        <w:tc>
          <w:tcPr>
            <w:tcW w:w="0" w:type="dxa"/>
            <w:vAlign w:val="bottom"/>
          </w:tcPr>
          <w:p>
            <w:pPr>
              <w:spacing w:after="0"/>
              <w:rPr>
                <w:sz w:val="1"/>
                <w:szCs w:val="1"/>
                <w:color w:val="auto"/>
              </w:rPr>
            </w:pPr>
          </w:p>
        </w:tc>
      </w:tr>
      <w:tr>
        <w:trPr>
          <w:trHeight w:val="163"/>
        </w:trPr>
        <w:tc>
          <w:tcPr>
            <w:tcW w:w="280" w:type="dxa"/>
            <w:vAlign w:val="bottom"/>
            <w:tcBorders>
              <w:top w:val="single" w:sz="8" w:color="auto"/>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top w:val="single" w:sz="8" w:color="auto"/>
              <w:right w:val="single" w:sz="8" w:color="auto"/>
            </w:tcBorders>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Emphasis on Variable Compensation</w:t>
            </w:r>
            <w:r>
              <w:rPr>
                <w:rFonts w:ascii="Times New Roman" w:cs="Times New Roman" w:eastAsia="Times New Roman" w:hAnsi="Times New Roman"/>
                <w:sz w:val="17"/>
                <w:szCs w:val="17"/>
                <w:color w:val="auto"/>
              </w:rPr>
              <w:t>. 83% of Mr. Lux’s target</w:t>
            </w:r>
          </w:p>
        </w:tc>
        <w:tc>
          <w:tcPr>
            <w:tcW w:w="280" w:type="dxa"/>
            <w:vAlign w:val="bottom"/>
            <w:tcBorders>
              <w:top w:val="single" w:sz="8" w:color="auto"/>
              <w:right w:val="single" w:sz="8" w:color="auto"/>
            </w:tcBorders>
          </w:tcPr>
          <w:p>
            <w:pPr>
              <w:spacing w:after="0"/>
              <w:rPr>
                <w:sz w:val="14"/>
                <w:szCs w:val="14"/>
                <w:color w:val="auto"/>
              </w:rPr>
            </w:pPr>
          </w:p>
        </w:tc>
        <w:tc>
          <w:tcPr>
            <w:tcW w:w="4580" w:type="dxa"/>
            <w:vAlign w:val="bottom"/>
            <w:tcBorders>
              <w:top w:val="single" w:sz="8" w:color="auto"/>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No Excise Tax Gross-Ups. </w:t>
            </w:r>
            <w:r>
              <w:rPr>
                <w:rFonts w:ascii="Times New Roman" w:cs="Times New Roman" w:eastAsia="Times New Roman" w:hAnsi="Times New Roman"/>
                <w:sz w:val="17"/>
                <w:szCs w:val="17"/>
                <w:color w:val="auto"/>
              </w:rPr>
              <w:t>As a matter of company policy,</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compensation and an average of 76% of our other NEO’s target</w:t>
            </w:r>
          </w:p>
        </w:tc>
        <w:tc>
          <w:tcPr>
            <w:tcW w:w="28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gridSpan w:val="3"/>
          </w:tcPr>
          <w:p>
            <w:pPr>
              <w:spacing w:after="0" w:line="177" w:lineRule="exact"/>
              <w:rPr>
                <w:sz w:val="20"/>
                <w:szCs w:val="20"/>
                <w:color w:val="auto"/>
              </w:rPr>
            </w:pPr>
            <w:r>
              <w:rPr>
                <w:rFonts w:ascii="Times New Roman" w:cs="Times New Roman" w:eastAsia="Times New Roman" w:hAnsi="Times New Roman"/>
                <w:sz w:val="17"/>
                <w:szCs w:val="17"/>
                <w:color w:val="auto"/>
              </w:rPr>
              <w:t>excise tax gross ups are not included in employment agreements</w:t>
            </w:r>
          </w:p>
        </w:tc>
        <w:tc>
          <w:tcPr>
            <w:tcW w:w="0" w:type="dxa"/>
            <w:vAlign w:val="bottom"/>
          </w:tcPr>
          <w:p>
            <w:pPr>
              <w:spacing w:after="0"/>
              <w:rPr>
                <w:sz w:val="1"/>
                <w:szCs w:val="1"/>
                <w:color w:val="auto"/>
              </w:rPr>
            </w:pPr>
          </w:p>
        </w:tc>
      </w:tr>
      <w:tr>
        <w:trPr>
          <w:trHeight w:val="227"/>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compensation is variable.</w:t>
            </w:r>
          </w:p>
        </w:tc>
        <w:tc>
          <w:tcPr>
            <w:tcW w:w="2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or severance agreements.</w:t>
            </w: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Long-Term Incentive Value Performance-Based</w:t>
            </w:r>
            <w:r>
              <w:rPr>
                <w:rFonts w:ascii="Times New Roman" w:cs="Times New Roman" w:eastAsia="Times New Roman" w:hAnsi="Times New Roman"/>
                <w:sz w:val="17"/>
                <w:szCs w:val="17"/>
                <w:color w:val="auto"/>
              </w:rPr>
              <w:t>. Half of the</w:t>
            </w:r>
          </w:p>
        </w:tc>
        <w:tc>
          <w:tcPr>
            <w:tcW w:w="2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Prohibition on Hedging/Pledging. </w:t>
            </w:r>
            <w:r>
              <w:rPr>
                <w:rFonts w:ascii="Times New Roman" w:cs="Times New Roman" w:eastAsia="Times New Roman" w:hAnsi="Times New Roman"/>
                <w:sz w:val="17"/>
                <w:szCs w:val="17"/>
                <w:color w:val="auto"/>
              </w:rPr>
              <w:t>Our Insider Trading Policy</w:t>
            </w:r>
          </w:p>
        </w:tc>
        <w:tc>
          <w:tcPr>
            <w:tcW w:w="0" w:type="dxa"/>
            <w:vAlign w:val="bottom"/>
          </w:tcPr>
          <w:p>
            <w:pPr>
              <w:spacing w:after="0"/>
              <w:rPr>
                <w:sz w:val="1"/>
                <w:szCs w:val="1"/>
                <w:color w:val="auto"/>
              </w:rPr>
            </w:pPr>
          </w:p>
        </w:tc>
      </w:tr>
      <w:tr>
        <w:trPr>
          <w:trHeight w:val="78"/>
        </w:trPr>
        <w:tc>
          <w:tcPr>
            <w:tcW w:w="280" w:type="dxa"/>
            <w:vAlign w:val="bottom"/>
            <w:tcBorders>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right w:val="single" w:sz="8" w:color="auto"/>
            </w:tcBorders>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820" w:type="dxa"/>
            <w:vAlign w:val="bottom"/>
            <w:vMerge w:val="restart"/>
          </w:tcPr>
          <w:p>
            <w:pPr>
              <w:spacing w:after="0" w:line="177" w:lineRule="exact"/>
              <w:rPr>
                <w:sz w:val="20"/>
                <w:szCs w:val="20"/>
                <w:color w:val="auto"/>
              </w:rPr>
            </w:pPr>
            <w:r>
              <w:rPr>
                <w:rFonts w:ascii="Times New Roman" w:cs="Times New Roman" w:eastAsia="Times New Roman" w:hAnsi="Times New Roman"/>
                <w:sz w:val="17"/>
                <w:szCs w:val="17"/>
                <w:color w:val="auto"/>
              </w:rPr>
              <w:t>specifically</w:t>
            </w:r>
          </w:p>
        </w:tc>
        <w:tc>
          <w:tcPr>
            <w:tcW w:w="960" w:type="dxa"/>
            <w:vAlign w:val="bottom"/>
            <w:vMerge w:val="restart"/>
          </w:tcPr>
          <w:p>
            <w:pPr>
              <w:ind w:left="160"/>
              <w:spacing w:after="0" w:line="177" w:lineRule="exact"/>
              <w:rPr>
                <w:sz w:val="20"/>
                <w:szCs w:val="20"/>
                <w:color w:val="auto"/>
              </w:rPr>
            </w:pPr>
            <w:r>
              <w:rPr>
                <w:rFonts w:ascii="Times New Roman" w:cs="Times New Roman" w:eastAsia="Times New Roman" w:hAnsi="Times New Roman"/>
                <w:sz w:val="17"/>
                <w:szCs w:val="17"/>
                <w:color w:val="auto"/>
              </w:rPr>
              <w:t>prohibits</w:t>
            </w:r>
          </w:p>
        </w:tc>
        <w:tc>
          <w:tcPr>
            <w:tcW w:w="2800" w:type="dxa"/>
            <w:vAlign w:val="bottom"/>
            <w:tcBorders>
              <w:right w:val="single" w:sz="8" w:color="auto"/>
            </w:tcBorders>
            <w:vMerge w:val="restart"/>
          </w:tcPr>
          <w:p>
            <w:pPr>
              <w:jc w:val="right"/>
              <w:spacing w:after="0" w:line="177" w:lineRule="exact"/>
              <w:rPr>
                <w:sz w:val="20"/>
                <w:szCs w:val="20"/>
                <w:color w:val="auto"/>
              </w:rPr>
            </w:pPr>
            <w:r>
              <w:rPr>
                <w:rFonts w:ascii="Times New Roman" w:cs="Times New Roman" w:eastAsia="Times New Roman" w:hAnsi="Times New Roman"/>
                <w:sz w:val="17"/>
                <w:szCs w:val="17"/>
                <w:color w:val="auto"/>
              </w:rPr>
              <w:t>directors,  officers  and  employees,</w:t>
            </w:r>
          </w:p>
        </w:tc>
        <w:tc>
          <w:tcPr>
            <w:tcW w:w="0" w:type="dxa"/>
            <w:vAlign w:val="bottom"/>
          </w:tcPr>
          <w:p>
            <w:pPr>
              <w:spacing w:after="0"/>
              <w:rPr>
                <w:sz w:val="1"/>
                <w:szCs w:val="1"/>
                <w:color w:val="auto"/>
              </w:rPr>
            </w:pPr>
          </w:p>
        </w:tc>
      </w:tr>
      <w:tr>
        <w:trPr>
          <w:trHeight w:val="99"/>
        </w:trPr>
        <w:tc>
          <w:tcPr>
            <w:tcW w:w="280" w:type="dxa"/>
            <w:vAlign w:val="bottom"/>
            <w:tcBorders>
              <w:left w:val="single" w:sz="8" w:color="auto"/>
              <w:right w:val="single" w:sz="8" w:color="auto"/>
            </w:tcBorders>
            <w:vMerge w:val="continue"/>
          </w:tcPr>
          <w:p>
            <w:pPr>
              <w:spacing w:after="0"/>
              <w:rPr>
                <w:sz w:val="8"/>
                <w:szCs w:val="8"/>
                <w:color w:val="auto"/>
              </w:rPr>
            </w:pPr>
          </w:p>
        </w:tc>
        <w:tc>
          <w:tcPr>
            <w:tcW w:w="4560" w:type="dxa"/>
            <w:vAlign w:val="bottom"/>
            <w:tcBorders>
              <w:right w:val="single" w:sz="8" w:color="auto"/>
            </w:tcBorders>
            <w:vMerge w:val="restart"/>
          </w:tcPr>
          <w:p>
            <w:pPr>
              <w:spacing w:after="0" w:line="177" w:lineRule="exact"/>
              <w:rPr>
                <w:sz w:val="20"/>
                <w:szCs w:val="20"/>
                <w:color w:val="auto"/>
              </w:rPr>
            </w:pPr>
            <w:r>
              <w:rPr>
                <w:rFonts w:ascii="Times New Roman" w:cs="Times New Roman" w:eastAsia="Times New Roman" w:hAnsi="Times New Roman"/>
                <w:sz w:val="17"/>
                <w:szCs w:val="17"/>
                <w:color w:val="auto"/>
              </w:rPr>
              <w:t>2023 equity incentive opportunity for our NEOs is contingent</w:t>
            </w:r>
          </w:p>
        </w:tc>
        <w:tc>
          <w:tcPr>
            <w:tcW w:w="280" w:type="dxa"/>
            <w:vAlign w:val="bottom"/>
            <w:tcBorders>
              <w:right w:val="single" w:sz="8" w:color="auto"/>
            </w:tcBorders>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80" w:type="dxa"/>
            <w:vAlign w:val="bottom"/>
            <w:tcBorders>
              <w:left w:val="single" w:sz="8" w:color="auto"/>
              <w:right w:val="single" w:sz="8" w:color="auto"/>
            </w:tcBorders>
            <w:vMerge w:val="continue"/>
          </w:tcPr>
          <w:p>
            <w:pPr>
              <w:spacing w:after="0"/>
              <w:rPr>
                <w:sz w:val="6"/>
                <w:szCs w:val="6"/>
                <w:color w:val="auto"/>
              </w:rPr>
            </w:pPr>
          </w:p>
        </w:tc>
        <w:tc>
          <w:tcPr>
            <w:tcW w:w="4560" w:type="dxa"/>
            <w:vAlign w:val="bottom"/>
            <w:tcBorders>
              <w:right w:val="single" w:sz="8" w:color="auto"/>
            </w:tcBorders>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82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auto"/>
              </w:rPr>
              <w:t>including</w:t>
            </w:r>
          </w:p>
        </w:tc>
        <w:tc>
          <w:tcPr>
            <w:tcW w:w="96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auto"/>
              </w:rPr>
              <w:t>our  NEOs,</w:t>
            </w:r>
          </w:p>
        </w:tc>
        <w:tc>
          <w:tcPr>
            <w:tcW w:w="2800" w:type="dxa"/>
            <w:vAlign w:val="bottom"/>
            <w:tcBorders>
              <w:right w:val="single" w:sz="8" w:color="auto"/>
            </w:tcBorders>
            <w:vMerge w:val="restart"/>
          </w:tcPr>
          <w:p>
            <w:pPr>
              <w:jc w:val="right"/>
              <w:spacing w:after="0" w:line="175" w:lineRule="exact"/>
              <w:rPr>
                <w:sz w:val="20"/>
                <w:szCs w:val="20"/>
                <w:color w:val="auto"/>
              </w:rPr>
            </w:pPr>
            <w:r>
              <w:rPr>
                <w:rFonts w:ascii="Times New Roman" w:cs="Times New Roman" w:eastAsia="Times New Roman" w:hAnsi="Times New Roman"/>
                <w:sz w:val="17"/>
                <w:szCs w:val="17"/>
                <w:color w:val="auto"/>
              </w:rPr>
              <w:t>from  entering  into  hedging  type</w:t>
            </w: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tcPr>
          <w:p>
            <w:pPr>
              <w:spacing w:after="0"/>
              <w:rPr>
                <w:sz w:val="8"/>
                <w:szCs w:val="8"/>
                <w:color w:val="auto"/>
              </w:rPr>
            </w:pPr>
          </w:p>
        </w:tc>
        <w:tc>
          <w:tcPr>
            <w:tcW w:w="4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upon absolute and relative TSR performance.</w:t>
            </w:r>
          </w:p>
        </w:tc>
        <w:tc>
          <w:tcPr>
            <w:tcW w:w="280" w:type="dxa"/>
            <w:vAlign w:val="bottom"/>
            <w:tcBorders>
              <w:right w:val="single" w:sz="8" w:color="auto"/>
            </w:tcBorders>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80" w:type="dxa"/>
            <w:vAlign w:val="bottom"/>
            <w:tcBorders>
              <w:left w:val="single" w:sz="8" w:color="auto"/>
              <w:right w:val="single" w:sz="8" w:color="auto"/>
            </w:tcBorders>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58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transactions in our stock or pledging our stock.</w:t>
            </w:r>
          </w:p>
        </w:tc>
        <w:tc>
          <w:tcPr>
            <w:tcW w:w="0" w:type="dxa"/>
            <w:vAlign w:val="bottom"/>
          </w:tcPr>
          <w:p>
            <w:pPr>
              <w:spacing w:after="0"/>
              <w:rPr>
                <w:sz w:val="1"/>
                <w:szCs w:val="1"/>
                <w:color w:val="auto"/>
              </w:rPr>
            </w:pPr>
          </w:p>
        </w:tc>
      </w:tr>
      <w:tr>
        <w:trPr>
          <w:trHeight w:val="92"/>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456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458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right w:val="single" w:sz="8" w:color="auto"/>
            </w:tcBorders>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Clawbacks. </w:t>
            </w:r>
            <w:r>
              <w:rPr>
                <w:rFonts w:ascii="Times New Roman" w:cs="Times New Roman" w:eastAsia="Times New Roman" w:hAnsi="Times New Roman"/>
                <w:sz w:val="17"/>
                <w:szCs w:val="17"/>
                <w:color w:val="auto"/>
              </w:rPr>
              <w:t>Both our short-term cash incentive compensation</w:t>
            </w:r>
          </w:p>
        </w:tc>
        <w:tc>
          <w:tcPr>
            <w:tcW w:w="2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 xml:space="preserve">No Perquisites. </w:t>
            </w:r>
            <w:r>
              <w:rPr>
                <w:rFonts w:ascii="Times New Roman" w:cs="Times New Roman" w:eastAsia="Times New Roman" w:hAnsi="Times New Roman"/>
                <w:sz w:val="17"/>
                <w:szCs w:val="17"/>
                <w:color w:val="auto"/>
              </w:rPr>
              <w:t>We do not provide any material perquisites to</w:t>
            </w:r>
          </w:p>
        </w:tc>
        <w:tc>
          <w:tcPr>
            <w:tcW w:w="0" w:type="dxa"/>
            <w:vAlign w:val="bottom"/>
          </w:tcPr>
          <w:p>
            <w:pPr>
              <w:spacing w:after="0"/>
              <w:rPr>
                <w:sz w:val="1"/>
                <w:szCs w:val="1"/>
                <w:color w:val="auto"/>
              </w:rPr>
            </w:pPr>
          </w:p>
        </w:tc>
      </w:tr>
      <w:tr>
        <w:trPr>
          <w:trHeight w:val="78"/>
        </w:trPr>
        <w:tc>
          <w:tcPr>
            <w:tcW w:w="280" w:type="dxa"/>
            <w:vAlign w:val="bottom"/>
            <w:tcBorders>
              <w:left w:val="single" w:sz="8" w:color="auto"/>
              <w:right w:val="single" w:sz="8" w:color="auto"/>
            </w:tcBorders>
            <w:vMerge w:val="continue"/>
          </w:tcPr>
          <w:p>
            <w:pPr>
              <w:spacing w:after="0"/>
              <w:rPr>
                <w:sz w:val="6"/>
                <w:szCs w:val="6"/>
                <w:color w:val="auto"/>
              </w:rPr>
            </w:pPr>
          </w:p>
        </w:tc>
        <w:tc>
          <w:tcPr>
            <w:tcW w:w="4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program and our stock incentive plan have recoupment features,</w:t>
            </w:r>
          </w:p>
        </w:tc>
        <w:tc>
          <w:tcPr>
            <w:tcW w:w="280" w:type="dxa"/>
            <w:vAlign w:val="bottom"/>
            <w:tcBorders>
              <w:right w:val="single" w:sz="8" w:color="auto"/>
            </w:tcBorders>
          </w:tcPr>
          <w:p>
            <w:pPr>
              <w:spacing w:after="0"/>
              <w:rPr>
                <w:sz w:val="6"/>
                <w:szCs w:val="6"/>
                <w:color w:val="auto"/>
              </w:rPr>
            </w:pPr>
          </w:p>
        </w:tc>
        <w:tc>
          <w:tcPr>
            <w:tcW w:w="45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80" w:type="dxa"/>
            <w:vAlign w:val="bottom"/>
            <w:tcBorders>
              <w:left w:val="single" w:sz="8" w:color="auto"/>
              <w:right w:val="single" w:sz="8" w:color="auto"/>
            </w:tcBorders>
            <w:vMerge w:val="continue"/>
          </w:tcPr>
          <w:p>
            <w:pPr>
              <w:spacing w:after="0"/>
              <w:rPr>
                <w:sz w:val="14"/>
                <w:szCs w:val="14"/>
                <w:color w:val="auto"/>
              </w:rPr>
            </w:pPr>
          </w:p>
        </w:tc>
        <w:tc>
          <w:tcPr>
            <w:tcW w:w="4560" w:type="dxa"/>
            <w:vAlign w:val="bottom"/>
            <w:tcBorders>
              <w:righ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our NEOs.</w:t>
            </w:r>
          </w:p>
        </w:tc>
        <w:tc>
          <w:tcPr>
            <w:tcW w:w="960" w:type="dxa"/>
            <w:vAlign w:val="bottom"/>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4560" w:type="dxa"/>
            <w:vAlign w:val="bottom"/>
            <w:tcBorders>
              <w:bottom w:val="single" w:sz="8" w:color="auto"/>
              <w:right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and during 2023 we adopted a Rule 10D-1 clawback policy.</w:t>
            </w:r>
          </w:p>
        </w:tc>
        <w:tc>
          <w:tcPr>
            <w:tcW w:w="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Stock Ownership Requirements. </w:t>
            </w:r>
            <w:r>
              <w:rPr>
                <w:rFonts w:ascii="Times New Roman" w:cs="Times New Roman" w:eastAsia="Times New Roman" w:hAnsi="Times New Roman"/>
                <w:sz w:val="17"/>
                <w:szCs w:val="17"/>
                <w:color w:val="auto"/>
              </w:rPr>
              <w:t>Our NEOs and non-executive</w:t>
            </w:r>
          </w:p>
        </w:tc>
        <w:tc>
          <w:tcPr>
            <w:tcW w:w="2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No  Single  Trigger  Change-in-Control  Benefits.  </w:t>
            </w:r>
            <w:r>
              <w:rPr>
                <w:rFonts w:ascii="Times New Roman" w:cs="Times New Roman" w:eastAsia="Times New Roman" w:hAnsi="Times New Roman"/>
                <w:sz w:val="17"/>
                <w:szCs w:val="17"/>
                <w:color w:val="auto"/>
              </w:rPr>
              <w:t>Cash</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directors  have  specific  minimum  ownership  obligations,</w:t>
            </w:r>
          </w:p>
        </w:tc>
        <w:tc>
          <w:tcPr>
            <w:tcW w:w="280" w:type="dxa"/>
            <w:vAlign w:val="bottom"/>
            <w:tcBorders>
              <w:right w:val="single" w:sz="8" w:color="auto"/>
            </w:tcBorders>
            <w:vMerge w:val="restart"/>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Borders>
              <w:right w:val="single" w:sz="8" w:color="auto"/>
            </w:tcBorders>
            <w:gridSpan w:val="3"/>
          </w:tcPr>
          <w:p>
            <w:pPr>
              <w:spacing w:after="0" w:line="177" w:lineRule="exact"/>
              <w:rPr>
                <w:sz w:val="20"/>
                <w:szCs w:val="20"/>
                <w:color w:val="auto"/>
              </w:rPr>
            </w:pPr>
            <w:r>
              <w:rPr>
                <w:rFonts w:ascii="Times New Roman" w:cs="Times New Roman" w:eastAsia="Times New Roman" w:hAnsi="Times New Roman"/>
                <w:sz w:val="17"/>
                <w:szCs w:val="17"/>
                <w:color w:val="auto"/>
              </w:rPr>
              <w:t>severance and accelerated vesting of equity incentives require</w:t>
            </w:r>
          </w:p>
        </w:tc>
        <w:tc>
          <w:tcPr>
            <w:tcW w:w="0" w:type="dxa"/>
            <w:vAlign w:val="bottom"/>
          </w:tcPr>
          <w:p>
            <w:pPr>
              <w:spacing w:after="0"/>
              <w:rPr>
                <w:sz w:val="1"/>
                <w:szCs w:val="1"/>
                <w:color w:val="auto"/>
              </w:rPr>
            </w:pPr>
          </w:p>
        </w:tc>
      </w:tr>
      <w:tr>
        <w:trPr>
          <w:trHeight w:val="175"/>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including a requirement that our CEO must hold equity with a</w:t>
            </w:r>
          </w:p>
        </w:tc>
        <w:tc>
          <w:tcPr>
            <w:tcW w:w="280" w:type="dxa"/>
            <w:vAlign w:val="bottom"/>
            <w:tcBorders>
              <w:right w:val="single" w:sz="8" w:color="auto"/>
            </w:tcBorders>
            <w:vMerge w:val="continue"/>
          </w:tcPr>
          <w:p>
            <w:pPr>
              <w:spacing w:after="0"/>
              <w:rPr>
                <w:sz w:val="15"/>
                <w:szCs w:val="15"/>
                <w:color w:val="auto"/>
              </w:rPr>
            </w:pPr>
          </w:p>
        </w:tc>
        <w:tc>
          <w:tcPr>
            <w:tcW w:w="4580" w:type="dxa"/>
            <w:vAlign w:val="bottom"/>
            <w:tcBorders>
              <w:right w:val="single" w:sz="8" w:color="auto"/>
            </w:tcBorders>
            <w:gridSpan w:val="3"/>
          </w:tcPr>
          <w:p>
            <w:pPr>
              <w:spacing w:after="0" w:line="175" w:lineRule="exact"/>
              <w:rPr>
                <w:sz w:val="20"/>
                <w:szCs w:val="20"/>
                <w:color w:val="auto"/>
              </w:rPr>
            </w:pPr>
            <w:r>
              <w:rPr>
                <w:rFonts w:ascii="Times New Roman" w:cs="Times New Roman" w:eastAsia="Times New Roman" w:hAnsi="Times New Roman"/>
                <w:sz w:val="17"/>
                <w:szCs w:val="17"/>
                <w:color w:val="auto"/>
              </w:rPr>
              <w:t>both the consummation of a change-in-control and a qualifying</w:t>
            </w:r>
          </w:p>
        </w:tc>
        <w:tc>
          <w:tcPr>
            <w:tcW w:w="0" w:type="dxa"/>
            <w:vAlign w:val="bottom"/>
          </w:tcPr>
          <w:p>
            <w:pPr>
              <w:spacing w:after="0"/>
              <w:rPr>
                <w:sz w:val="1"/>
                <w:szCs w:val="1"/>
                <w:color w:val="auto"/>
              </w:rPr>
            </w:pPr>
          </w:p>
        </w:tc>
      </w:tr>
      <w:tr>
        <w:trPr>
          <w:trHeight w:val="222"/>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value of at least 5x his base salary.</w:t>
            </w:r>
          </w:p>
        </w:tc>
        <w:tc>
          <w:tcPr>
            <w:tcW w:w="280" w:type="dxa"/>
            <w:vAlign w:val="bottom"/>
            <w:tcBorders>
              <w:bottom w:val="single" w:sz="8" w:color="auto"/>
              <w:right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termination of employment.</w:t>
            </w:r>
          </w:p>
        </w:tc>
        <w:tc>
          <w:tcPr>
            <w:tcW w:w="0" w:type="dxa"/>
            <w:vAlign w:val="bottom"/>
          </w:tcPr>
          <w:p>
            <w:pPr>
              <w:spacing w:after="0"/>
              <w:rPr>
                <w:sz w:val="1"/>
                <w:szCs w:val="1"/>
                <w:color w:val="auto"/>
              </w:rPr>
            </w:pPr>
          </w:p>
        </w:tc>
      </w:tr>
      <w:tr>
        <w:trPr>
          <w:trHeight w:val="163"/>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Annual Compensation Risk Assessment</w:t>
            </w:r>
            <w:r>
              <w:rPr>
                <w:rFonts w:ascii="Times New Roman" w:cs="Times New Roman" w:eastAsia="Times New Roman" w:hAnsi="Times New Roman"/>
                <w:sz w:val="17"/>
                <w:szCs w:val="17"/>
                <w:color w:val="auto"/>
              </w:rPr>
              <w:t>. To ensure that our</w:t>
            </w:r>
          </w:p>
        </w:tc>
        <w:tc>
          <w:tcPr>
            <w:tcW w:w="2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 xml:space="preserve">No Repricing. </w:t>
            </w:r>
            <w:r>
              <w:rPr>
                <w:rFonts w:ascii="Times New Roman" w:cs="Times New Roman" w:eastAsia="Times New Roman" w:hAnsi="Times New Roman"/>
                <w:sz w:val="17"/>
                <w:szCs w:val="17"/>
                <w:color w:val="auto"/>
              </w:rPr>
              <w:t>Our plans prohibit repricing or cash buyout of</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programs are designed to motivate strong performance without</w:t>
            </w:r>
          </w:p>
        </w:tc>
        <w:tc>
          <w:tcPr>
            <w:tcW w:w="280" w:type="dxa"/>
            <w:vAlign w:val="bottom"/>
            <w:tcBorders>
              <w:right w:val="single" w:sz="8" w:color="auto"/>
            </w:tcBorders>
            <w:vMerge w:val="restart"/>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Borders>
              <w:right w:val="single" w:sz="8" w:color="auto"/>
            </w:tcBorders>
            <w:gridSpan w:val="3"/>
          </w:tcPr>
          <w:p>
            <w:pPr>
              <w:spacing w:after="0" w:line="177" w:lineRule="exact"/>
              <w:rPr>
                <w:sz w:val="20"/>
                <w:szCs w:val="20"/>
                <w:color w:val="auto"/>
              </w:rPr>
            </w:pPr>
            <w:r>
              <w:rPr>
                <w:rFonts w:ascii="Times New Roman" w:cs="Times New Roman" w:eastAsia="Times New Roman" w:hAnsi="Times New Roman"/>
                <w:sz w:val="17"/>
                <w:szCs w:val="17"/>
                <w:color w:val="auto"/>
              </w:rPr>
              <w:t>underwater stock options without stockholder approval.</w:t>
            </w:r>
          </w:p>
        </w:tc>
        <w:tc>
          <w:tcPr>
            <w:tcW w:w="0" w:type="dxa"/>
            <w:vAlign w:val="bottom"/>
          </w:tcPr>
          <w:p>
            <w:pPr>
              <w:spacing w:after="0"/>
              <w:rPr>
                <w:sz w:val="1"/>
                <w:szCs w:val="1"/>
                <w:color w:val="auto"/>
              </w:rPr>
            </w:pPr>
          </w:p>
        </w:tc>
      </w:tr>
      <w:tr>
        <w:trPr>
          <w:trHeight w:val="175"/>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encouraging excessive and unnecessary risk-taking, we conduct</w:t>
            </w:r>
          </w:p>
        </w:tc>
        <w:tc>
          <w:tcPr>
            <w:tcW w:w="280" w:type="dxa"/>
            <w:vAlign w:val="bottom"/>
            <w:tcBorders>
              <w:right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7"/>
                <w:szCs w:val="17"/>
                <w:color w:val="auto"/>
              </w:rPr>
              <w:t>annual  assessments  led  by  the  Committee’s  independent</w:t>
            </w:r>
          </w:p>
        </w:tc>
        <w:tc>
          <w:tcPr>
            <w:tcW w:w="2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compensation consultant.</w:t>
            </w:r>
          </w:p>
        </w:tc>
        <w:tc>
          <w:tcPr>
            <w:tcW w:w="2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Independent Compensation Consultant</w:t>
            </w:r>
            <w:r>
              <w:rPr>
                <w:rFonts w:ascii="Times New Roman" w:cs="Times New Roman" w:eastAsia="Times New Roman" w:hAnsi="Times New Roman"/>
                <w:sz w:val="17"/>
                <w:szCs w:val="17"/>
                <w:color w:val="auto"/>
              </w:rPr>
              <w:t>. The Compensation</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and Human Capital Committee engages an independent advisor</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on  topics  related  to  board  of  director  and  executive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7"/>
                <w:szCs w:val="17"/>
                <w:color w:val="auto"/>
              </w:rPr>
              <w:t>compensation, and annually requires formal certification from</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the advisor of its independence.</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We value the input of our stockholders, and appreciate the strong support that they have historically expressed for the design of our programs. We are asking our stockholders to indicate their support for our named executive officers’ compensation as described in this proxy statement and ask that our stockholders approve the following non-binding resolution at the annual meeting:</w:t>
      </w:r>
    </w:p>
    <w:p>
      <w:pPr>
        <w:spacing w:after="0" w:line="163"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“RESOLVED, that the stockholders of Forum Energy Technologies, Inc. (the “Company”) approve, on a non-binding, advisory basis, the compensation of the Company’s named executive officers, as disclosed pursuant to the compensation disclosure rules of the Securities and Exchange Commission, including the compensation tables and the other narrative discussion in the proxy statement for the 2024 Annual Meeting of Stockholders of the Company.”</w:t>
      </w:r>
    </w:p>
    <w:p>
      <w:pPr>
        <w:spacing w:after="0" w:line="12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an advisory resolution, our stockholders’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and Human Capital Committee. We expect, however, that our Compensation and Human Capital Committee will review the voting results on this proposal and give consideration to the outcome when making future decisions regarding compensation of our named executive officers. Our board of directors has currently adopted a policy of holding annual “Say-on-Pay” votes and thus, unless such policy is modified, the next advisory resolution to approve executive compensation after the annual meeting will be at our annual meeting of stockholders to be held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 xml:space="preserve">Approval of the proposal requires the affirmative vote of at least a majority of the shares of our common stock present in person or by proxy at the meeting and entitled to vote. </w:t>
      </w:r>
      <w:r>
        <w:rPr>
          <w:rFonts w:ascii="Times New Roman" w:cs="Times New Roman" w:eastAsia="Times New Roman" w:hAnsi="Times New Roman"/>
          <w:sz w:val="17"/>
          <w:szCs w:val="17"/>
          <w:b w:val="1"/>
          <w:bCs w:val="1"/>
          <w:color w:val="auto"/>
        </w:rPr>
        <w:t>Your board of directors recommends a vote “FOR” the approval of the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1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currently considered a smaller reporting company for purposes of the SEC’s executive compensation disclosure rules. In accordance with such rules, we are permitted to provide more limited executive compensation disclosures, comprised of the tables and narrative that follow. Further, our reporting obligations extend only to the executives who served as our chief executive officer during the fiscal year and our two other most highly compensated executive officers as of fiscal year end. We refer to these three individuals, as listed below, as our “named executive officers” (“NEOs”) for the year ended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Neal A. Lux</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9"/>
        </w:trPr>
        <w:tc>
          <w:tcPr>
            <w:tcW w:w="120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D. Lyle Williams</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7"/>
        </w:trPr>
        <w:tc>
          <w:tcPr>
            <w:tcW w:w="12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John C. Ivascu</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 and Corporate Secretary</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Business Highlights</w:t>
      </w:r>
    </w:p>
    <w:p>
      <w:pPr>
        <w:spacing w:after="0" w:line="1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have adopted an executive compensation program that is designed to attract and retain talented executive officers, and align their interests with those of our stockholders over the long term, taking into account the volatile markets in which we do business. In addition to holding management accountable for accomplishing financial results, we insist on the highest standards of ethical conduct and operational safety, which we believe will position us for long-term success.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2023, we accomplished the following under the direction of management:</w:t>
      </w:r>
    </w:p>
    <w:p>
      <w:pPr>
        <w:spacing w:after="0" w:line="224" w:lineRule="exact"/>
        <w:rPr>
          <w:sz w:val="20"/>
          <w:szCs w:val="20"/>
          <w:color w:val="auto"/>
        </w:rPr>
      </w:pPr>
    </w:p>
    <w:p>
      <w:pPr>
        <w:ind w:left="620" w:hanging="302"/>
        <w:spacing w:after="0"/>
        <w:tabs>
          <w:tab w:leader="none" w:pos="620" w:val="left"/>
        </w:tabs>
        <w:numPr>
          <w:ilvl w:val="0"/>
          <w:numId w:val="16"/>
        </w:numPr>
        <w:rPr>
          <w:rFonts w:ascii="Arial" w:cs="Arial" w:eastAsia="Arial" w:hAnsi="Arial"/>
          <w:sz w:val="17"/>
          <w:szCs w:val="17"/>
          <w:b w:val="1"/>
          <w:bCs w:val="1"/>
          <w:i w:val="1"/>
          <w:iCs w:val="1"/>
          <w:color w:val="auto"/>
        </w:rPr>
      </w:pPr>
      <w:r>
        <w:rPr>
          <w:rFonts w:ascii="Times New Roman" w:cs="Times New Roman" w:eastAsia="Times New Roman" w:hAnsi="Times New Roman"/>
          <w:sz w:val="17"/>
          <w:szCs w:val="17"/>
          <w:color w:val="auto"/>
        </w:rPr>
        <w:t>Achieved adjusted EBITDA</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of $67.1 million, a 14% increase over our 2022 results;</w:t>
      </w: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on our transformational acquisition of Variperm Energy Services; and</w:t>
      </w:r>
    </w:p>
    <w:p>
      <w:pPr>
        <w:spacing w:after="0" w:line="1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a strong financial liquidity position.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Highlights</w:t>
      </w:r>
    </w:p>
    <w:p>
      <w:pPr>
        <w:spacing w:after="0" w:line="9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With respect to our 2023 compensation programs, the Compensation and Human Capital Committee generally maintained the structure of our 2022 compensation program and took several key actions impacting our NEOs, including the following:</w:t>
      </w:r>
    </w:p>
    <w:p>
      <w:pPr>
        <w:spacing w:after="0" w:line="163" w:lineRule="exact"/>
        <w:rPr>
          <w:sz w:val="20"/>
          <w:szCs w:val="20"/>
          <w:color w:val="auto"/>
        </w:rPr>
      </w:pPr>
    </w:p>
    <w:p>
      <w:pPr>
        <w:ind w:left="640" w:right="500" w:hanging="322"/>
        <w:spacing w:after="0" w:line="258"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performance awards tied to our absolute and relative total stockholder return, which constituted 50% of each NEO</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s long-term incentive compensation opportunity for 2023; and</w:t>
      </w:r>
    </w:p>
    <w:p>
      <w:pPr>
        <w:ind w:left="640" w:hanging="322"/>
        <w:spacing w:after="0" w:line="272"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challenging 2023 performance objectives under our annual cash-based Executive Management Incentive Plan, which paid out at 77% of target based on the financial and safety performance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249555</wp:posOffset>
            </wp:positionV>
            <wp:extent cx="1657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0" w:hanging="96"/>
        <w:spacing w:after="0"/>
        <w:tabs>
          <w:tab w:leader="none" w:pos="1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Appendix A for a reconciliation of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Summary Compensation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the compensation awarded to or earned by our named executive officers in the prior two fiscal years.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3360" w:type="dxa"/>
            <w:vAlign w:val="bottom"/>
            <w:tcBorders>
              <w:top w:val="single" w:sz="8" w:color="auto"/>
              <w:left w:val="single" w:sz="8" w:color="auto"/>
              <w:right w:val="single" w:sz="8" w:color="051E68"/>
            </w:tcBorders>
            <w:shd w:val="clear" w:color="auto" w:fill="051E68"/>
          </w:tcPr>
          <w:p>
            <w:pPr>
              <w:spacing w:after="0"/>
              <w:rPr>
                <w:sz w:val="11"/>
                <w:szCs w:val="11"/>
                <w:color w:val="auto"/>
              </w:rPr>
            </w:pPr>
          </w:p>
        </w:tc>
        <w:tc>
          <w:tcPr>
            <w:tcW w:w="1120" w:type="dxa"/>
            <w:vAlign w:val="bottom"/>
            <w:tcBorders>
              <w:top w:val="single" w:sz="8" w:color="auto"/>
              <w:right w:val="single" w:sz="8" w:color="051E68"/>
            </w:tcBorders>
            <w:shd w:val="clear" w:color="auto" w:fill="051E68"/>
          </w:tcPr>
          <w:p>
            <w:pPr>
              <w:spacing w:after="0"/>
              <w:rPr>
                <w:sz w:val="11"/>
                <w:szCs w:val="11"/>
                <w:color w:val="auto"/>
              </w:rPr>
            </w:pPr>
          </w:p>
        </w:tc>
        <w:tc>
          <w:tcPr>
            <w:tcW w:w="1120" w:type="dxa"/>
            <w:vAlign w:val="bottom"/>
            <w:tcBorders>
              <w:top w:val="single" w:sz="8" w:color="auto"/>
              <w:right w:val="single" w:sz="8" w:color="051E68"/>
            </w:tcBorders>
            <w:vMerge w:val="restart"/>
            <w:shd w:val="clear" w:color="auto" w:fill="051E68"/>
          </w:tcPr>
          <w:p>
            <w:pPr>
              <w:ind w:left="360"/>
              <w:spacing w:after="0"/>
              <w:rPr>
                <w:sz w:val="20"/>
                <w:szCs w:val="20"/>
                <w:color w:val="auto"/>
              </w:rPr>
            </w:pPr>
            <w:r>
              <w:rPr>
                <w:rFonts w:ascii="Times New Roman" w:cs="Times New Roman" w:eastAsia="Times New Roman" w:hAnsi="Times New Roman"/>
                <w:sz w:val="12"/>
                <w:szCs w:val="12"/>
                <w:b w:val="1"/>
                <w:bCs w:val="1"/>
                <w:color w:val="FFFFFF"/>
              </w:rPr>
              <w:t>Salary</w:t>
            </w:r>
          </w:p>
        </w:tc>
        <w:tc>
          <w:tcPr>
            <w:tcW w:w="1120" w:type="dxa"/>
            <w:vAlign w:val="bottom"/>
            <w:tcBorders>
              <w:top w:val="single" w:sz="8" w:color="auto"/>
              <w:right w:val="single" w:sz="8" w:color="051E68"/>
            </w:tcBorders>
            <w:shd w:val="clear" w:color="auto" w:fill="051E68"/>
          </w:tcPr>
          <w:p>
            <w:pPr>
              <w:spacing w:after="0"/>
              <w:rPr>
                <w:sz w:val="11"/>
                <w:szCs w:val="11"/>
                <w:color w:val="auto"/>
              </w:rPr>
            </w:pPr>
          </w:p>
        </w:tc>
        <w:tc>
          <w:tcPr>
            <w:tcW w:w="1120" w:type="dxa"/>
            <w:vAlign w:val="bottom"/>
            <w:tcBorders>
              <w:top w:val="single" w:sz="8" w:color="auto"/>
              <w:right w:val="single" w:sz="8" w:color="051E68"/>
            </w:tcBorders>
            <w:vMerge w:val="restart"/>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rPr>
              <w:t xml:space="preserve">Stock Awards </w:t>
            </w:r>
            <w:r>
              <w:rPr>
                <w:rFonts w:ascii="Times New Roman" w:cs="Times New Roman" w:eastAsia="Times New Roman" w:hAnsi="Times New Roman"/>
                <w:sz w:val="6"/>
                <w:szCs w:val="6"/>
                <w:b w:val="1"/>
                <w:bCs w:val="1"/>
                <w:color w:val="FFFFFF"/>
              </w:rPr>
              <w:t>(1)</w:t>
            </w:r>
          </w:p>
        </w:tc>
        <w:tc>
          <w:tcPr>
            <w:tcW w:w="1120" w:type="dxa"/>
            <w:vAlign w:val="bottom"/>
            <w:tcBorders>
              <w:top w:val="single" w:sz="8" w:color="auto"/>
              <w:right w:val="single" w:sz="8" w:color="051E68"/>
            </w:tcBorders>
            <w:shd w:val="clear" w:color="auto" w:fill="051E68"/>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FFFFFF"/>
                <w:w w:val="99"/>
              </w:rPr>
              <w:t>Non-Equity</w:t>
            </w:r>
          </w:p>
        </w:tc>
        <w:tc>
          <w:tcPr>
            <w:tcW w:w="1120" w:type="dxa"/>
            <w:vAlign w:val="bottom"/>
            <w:tcBorders>
              <w:top w:val="single" w:sz="8" w:color="auto"/>
              <w:right w:val="single" w:sz="8" w:color="051E68"/>
            </w:tcBorders>
            <w:shd w:val="clear" w:color="auto" w:fill="051E68"/>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FFFFFF"/>
              </w:rPr>
              <w:t>All Other</w:t>
            </w:r>
          </w:p>
        </w:tc>
        <w:tc>
          <w:tcPr>
            <w:tcW w:w="1140" w:type="dxa"/>
            <w:vAlign w:val="bottom"/>
            <w:tcBorders>
              <w:top w:val="single" w:sz="8" w:color="auto"/>
              <w:right w:val="single" w:sz="8" w:color="auto"/>
            </w:tcBorders>
            <w:vMerge w:val="restart"/>
            <w:shd w:val="clear" w:color="auto" w:fill="051E68"/>
          </w:tcPr>
          <w:p>
            <w:pPr>
              <w:ind w:left="400"/>
              <w:spacing w:after="0"/>
              <w:rPr>
                <w:sz w:val="20"/>
                <w:szCs w:val="20"/>
                <w:color w:val="auto"/>
              </w:rPr>
            </w:pPr>
            <w:r>
              <w:rPr>
                <w:rFonts w:ascii="Times New Roman" w:cs="Times New Roman" w:eastAsia="Times New Roman" w:hAnsi="Times New Roman"/>
                <w:sz w:val="12"/>
                <w:szCs w:val="12"/>
                <w:b w:val="1"/>
                <w:bCs w:val="1"/>
                <w:color w:val="FFFFFF"/>
              </w:rPr>
              <w:t>Total</w:t>
            </w:r>
          </w:p>
        </w:tc>
        <w:tc>
          <w:tcPr>
            <w:tcW w:w="0" w:type="dxa"/>
            <w:vAlign w:val="bottom"/>
          </w:tcPr>
          <w:p>
            <w:pPr>
              <w:spacing w:after="0"/>
              <w:rPr>
                <w:sz w:val="1"/>
                <w:szCs w:val="1"/>
                <w:color w:val="auto"/>
              </w:rPr>
            </w:pPr>
          </w:p>
        </w:tc>
      </w:tr>
      <w:tr>
        <w:trPr>
          <w:trHeight w:val="117"/>
        </w:trPr>
        <w:tc>
          <w:tcPr>
            <w:tcW w:w="3360" w:type="dxa"/>
            <w:vAlign w:val="bottom"/>
            <w:tcBorders>
              <w:left w:val="single" w:sz="8" w:color="auto"/>
              <w:right w:val="single" w:sz="8" w:color="051E68"/>
            </w:tcBorders>
            <w:shd w:val="clear" w:color="auto" w:fill="051E68"/>
          </w:tcPr>
          <w:p>
            <w:pPr>
              <w:spacing w:after="0"/>
              <w:rPr>
                <w:sz w:val="10"/>
                <w:szCs w:val="10"/>
                <w:color w:val="auto"/>
              </w:rPr>
            </w:pPr>
          </w:p>
        </w:tc>
        <w:tc>
          <w:tcPr>
            <w:tcW w:w="1120" w:type="dxa"/>
            <w:vAlign w:val="bottom"/>
            <w:tcBorders>
              <w:right w:val="single" w:sz="8" w:color="051E68"/>
            </w:tcBorders>
            <w:shd w:val="clear" w:color="auto" w:fill="051E68"/>
          </w:tcPr>
          <w:p>
            <w:pPr>
              <w:spacing w:after="0"/>
              <w:rPr>
                <w:sz w:val="10"/>
                <w:szCs w:val="10"/>
                <w:color w:val="auto"/>
              </w:rPr>
            </w:pPr>
          </w:p>
        </w:tc>
        <w:tc>
          <w:tcPr>
            <w:tcW w:w="1120" w:type="dxa"/>
            <w:vAlign w:val="bottom"/>
            <w:tcBorders>
              <w:right w:val="single" w:sz="8" w:color="051E68"/>
            </w:tcBorders>
            <w:vMerge w:val="continue"/>
            <w:shd w:val="clear" w:color="auto" w:fill="051E68"/>
          </w:tcPr>
          <w:p>
            <w:pPr>
              <w:spacing w:after="0"/>
              <w:rPr>
                <w:sz w:val="10"/>
                <w:szCs w:val="10"/>
                <w:color w:val="auto"/>
              </w:rPr>
            </w:pPr>
          </w:p>
        </w:tc>
        <w:tc>
          <w:tcPr>
            <w:tcW w:w="1120" w:type="dxa"/>
            <w:vAlign w:val="bottom"/>
            <w:tcBorders>
              <w:right w:val="single" w:sz="8" w:color="051E68"/>
            </w:tcBorders>
            <w:shd w:val="clear" w:color="auto" w:fill="051E68"/>
          </w:tcPr>
          <w:p>
            <w:pPr>
              <w:spacing w:after="0"/>
              <w:rPr>
                <w:sz w:val="10"/>
                <w:szCs w:val="10"/>
                <w:color w:val="auto"/>
              </w:rPr>
            </w:pPr>
          </w:p>
        </w:tc>
        <w:tc>
          <w:tcPr>
            <w:tcW w:w="1120" w:type="dxa"/>
            <w:vAlign w:val="bottom"/>
            <w:tcBorders>
              <w:right w:val="single" w:sz="8" w:color="051E68"/>
            </w:tcBorders>
            <w:vMerge w:val="continue"/>
            <w:shd w:val="clear" w:color="auto" w:fill="051E68"/>
          </w:tcPr>
          <w:p>
            <w:pPr>
              <w:spacing w:after="0"/>
              <w:rPr>
                <w:sz w:val="10"/>
                <w:szCs w:val="10"/>
                <w:color w:val="auto"/>
              </w:rPr>
            </w:pPr>
          </w:p>
        </w:tc>
        <w:tc>
          <w:tcPr>
            <w:tcW w:w="1120" w:type="dxa"/>
            <w:vAlign w:val="bottom"/>
            <w:tcBorders>
              <w:right w:val="single" w:sz="8" w:color="051E68"/>
            </w:tcBorders>
            <w:shd w:val="clear" w:color="auto" w:fill="051E68"/>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FFFFFF"/>
              </w:rPr>
              <w:t>Incentive Plan</w:t>
            </w:r>
          </w:p>
        </w:tc>
        <w:tc>
          <w:tcPr>
            <w:tcW w:w="1120" w:type="dxa"/>
            <w:vAlign w:val="bottom"/>
            <w:tcBorders>
              <w:right w:val="single" w:sz="8" w:color="051E68"/>
            </w:tcBorders>
            <w:shd w:val="clear" w:color="auto" w:fill="051E68"/>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FFFFFF"/>
              </w:rPr>
              <w:t xml:space="preserve">Compensation </w:t>
            </w:r>
            <w:r>
              <w:rPr>
                <w:rFonts w:ascii="Times New Roman" w:cs="Times New Roman" w:eastAsia="Times New Roman" w:hAnsi="Times New Roman"/>
                <w:sz w:val="6"/>
                <w:szCs w:val="6"/>
                <w:b w:val="1"/>
                <w:bCs w:val="1"/>
                <w:color w:val="FFFFFF"/>
              </w:rPr>
              <w:t>(3)</w:t>
            </w:r>
          </w:p>
        </w:tc>
        <w:tc>
          <w:tcPr>
            <w:tcW w:w="1140" w:type="dxa"/>
            <w:vAlign w:val="bottom"/>
            <w:tcBorders>
              <w:right w:val="single" w:sz="8" w:color="auto"/>
            </w:tcBorders>
            <w:vMerge w:val="continue"/>
            <w:shd w:val="clear" w:color="auto" w:fill="051E68"/>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60" w:type="dxa"/>
            <w:vAlign w:val="bottom"/>
            <w:tcBorders>
              <w:left w:val="single" w:sz="8" w:color="auto"/>
              <w:bottom w:val="single" w:sz="8" w:color="auto"/>
              <w:right w:val="single" w:sz="8" w:color="051E68"/>
            </w:tcBorders>
            <w:shd w:val="clear" w:color="auto" w:fill="051E68"/>
          </w:tcPr>
          <w:p>
            <w:pPr>
              <w:ind w:left="920"/>
              <w:spacing w:after="0"/>
              <w:rPr>
                <w:sz w:val="20"/>
                <w:szCs w:val="20"/>
                <w:color w:val="auto"/>
              </w:rPr>
            </w:pPr>
            <w:r>
              <w:rPr>
                <w:rFonts w:ascii="Times New Roman" w:cs="Times New Roman" w:eastAsia="Times New Roman" w:hAnsi="Times New Roman"/>
                <w:sz w:val="12"/>
                <w:szCs w:val="12"/>
                <w:b w:val="1"/>
                <w:bCs w:val="1"/>
                <w:color w:val="FFFFFF"/>
              </w:rPr>
              <w:t>Name and Principal Position</w:t>
            </w:r>
          </w:p>
        </w:tc>
        <w:tc>
          <w:tcPr>
            <w:tcW w:w="1120" w:type="dxa"/>
            <w:vAlign w:val="bottom"/>
            <w:tcBorders>
              <w:bottom w:val="single" w:sz="8" w:color="auto"/>
              <w:right w:val="single" w:sz="8" w:color="051E68"/>
            </w:tcBorders>
            <w:shd w:val="clear" w:color="auto" w:fill="051E68"/>
          </w:tcPr>
          <w:p>
            <w:pPr>
              <w:ind w:left="420"/>
              <w:spacing w:after="0"/>
              <w:rPr>
                <w:sz w:val="20"/>
                <w:szCs w:val="20"/>
                <w:color w:val="auto"/>
              </w:rPr>
            </w:pPr>
            <w:r>
              <w:rPr>
                <w:rFonts w:ascii="Times New Roman" w:cs="Times New Roman" w:eastAsia="Times New Roman" w:hAnsi="Times New Roman"/>
                <w:sz w:val="12"/>
                <w:szCs w:val="12"/>
                <w:b w:val="1"/>
                <w:bCs w:val="1"/>
                <w:color w:val="FFFFFF"/>
              </w:rPr>
              <w:t>Year</w:t>
            </w:r>
          </w:p>
        </w:tc>
        <w:tc>
          <w:tcPr>
            <w:tcW w:w="1120" w:type="dxa"/>
            <w:vAlign w:val="bottom"/>
            <w:tcBorders>
              <w:bottom w:val="single" w:sz="8" w:color="auto"/>
              <w:right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1120" w:type="dxa"/>
            <w:vAlign w:val="bottom"/>
            <w:tcBorders>
              <w:bottom w:val="single" w:sz="8" w:color="auto"/>
              <w:right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w w:val="97"/>
              </w:rPr>
              <w:t>Bonus ($)</w:t>
            </w:r>
          </w:p>
        </w:tc>
        <w:tc>
          <w:tcPr>
            <w:tcW w:w="1120" w:type="dxa"/>
            <w:vAlign w:val="bottom"/>
            <w:tcBorders>
              <w:bottom w:val="single" w:sz="8" w:color="auto"/>
              <w:right w:val="single" w:sz="8" w:color="051E68"/>
            </w:tcBorders>
            <w:shd w:val="clear" w:color="auto" w:fill="051E68"/>
          </w:tcPr>
          <w:p>
            <w:pPr>
              <w:jc w:val="right"/>
              <w:ind w:right="453"/>
              <w:spacing w:after="0"/>
              <w:rPr>
                <w:sz w:val="20"/>
                <w:szCs w:val="20"/>
                <w:color w:val="auto"/>
              </w:rPr>
            </w:pPr>
            <w:r>
              <w:rPr>
                <w:rFonts w:ascii="Times New Roman" w:cs="Times New Roman" w:eastAsia="Times New Roman" w:hAnsi="Times New Roman"/>
                <w:sz w:val="12"/>
                <w:szCs w:val="12"/>
                <w:b w:val="1"/>
                <w:bCs w:val="1"/>
                <w:color w:val="FFFFFF"/>
              </w:rPr>
              <w:t>($)</w:t>
            </w:r>
          </w:p>
        </w:tc>
        <w:tc>
          <w:tcPr>
            <w:tcW w:w="1120" w:type="dxa"/>
            <w:vAlign w:val="bottom"/>
            <w:tcBorders>
              <w:bottom w:val="single" w:sz="8" w:color="auto"/>
              <w:right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rPr>
              <w:t xml:space="preserve">Compensation </w:t>
            </w:r>
            <w:r>
              <w:rPr>
                <w:rFonts w:ascii="Times New Roman" w:cs="Times New Roman" w:eastAsia="Times New Roman" w:hAnsi="Times New Roman"/>
                <w:sz w:val="6"/>
                <w:szCs w:val="6"/>
                <w:b w:val="1"/>
                <w:bCs w:val="1"/>
                <w:color w:val="FFFFFF"/>
              </w:rPr>
              <w:t>(2)</w:t>
            </w:r>
            <w:r>
              <w:rPr>
                <w:rFonts w:ascii="Times New Roman" w:cs="Times New Roman" w:eastAsia="Times New Roman" w:hAnsi="Times New Roman"/>
                <w:sz w:val="12"/>
                <w:szCs w:val="12"/>
                <w:b w:val="1"/>
                <w:bCs w:val="1"/>
                <w:color w:val="FFFFFF"/>
              </w:rPr>
              <w:t xml:space="preserve"> ($)</w:t>
            </w:r>
          </w:p>
        </w:tc>
        <w:tc>
          <w:tcPr>
            <w:tcW w:w="1120" w:type="dxa"/>
            <w:vAlign w:val="bottom"/>
            <w:tcBorders>
              <w:bottom w:val="single" w:sz="8" w:color="auto"/>
              <w:right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1140" w:type="dxa"/>
            <w:vAlign w:val="bottom"/>
            <w:tcBorders>
              <w:bottom w:val="single" w:sz="8" w:color="auto"/>
              <w:righ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0" w:type="dxa"/>
            <w:vAlign w:val="bottom"/>
          </w:tcPr>
          <w:p>
            <w:pPr>
              <w:spacing w:after="0"/>
              <w:rPr>
                <w:sz w:val="1"/>
                <w:szCs w:val="1"/>
                <w:color w:val="auto"/>
              </w:rPr>
            </w:pPr>
          </w:p>
        </w:tc>
      </w:tr>
      <w:tr>
        <w:trPr>
          <w:trHeight w:val="184"/>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Neal A. Lux</w:t>
            </w:r>
          </w:p>
        </w:tc>
        <w:tc>
          <w:tcPr>
            <w:tcW w:w="11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663,462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3,264,920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513,519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13,200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4,455,101</w:t>
            </w:r>
          </w:p>
        </w:tc>
        <w:tc>
          <w:tcPr>
            <w:tcW w:w="0" w:type="dxa"/>
            <w:vAlign w:val="bottom"/>
          </w:tcPr>
          <w:p>
            <w:pPr>
              <w:spacing w:after="0"/>
              <w:rPr>
                <w:sz w:val="1"/>
                <w:szCs w:val="1"/>
                <w:color w:val="auto"/>
              </w:rPr>
            </w:pPr>
          </w:p>
        </w:tc>
      </w:tr>
      <w:tr>
        <w:trPr>
          <w:trHeight w:val="221"/>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auto"/>
              <w:right w:val="single" w:sz="8" w:color="auto"/>
            </w:tcBorders>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564,461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1,703,239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1,291,584</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12,200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3,571,484</w:t>
            </w: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 Lyle Williams</w:t>
            </w:r>
          </w:p>
        </w:tc>
        <w:tc>
          <w:tcPr>
            <w:tcW w:w="11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463,077</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1,601,646</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302,252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13,200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2,380,175</w:t>
            </w:r>
          </w:p>
        </w:tc>
        <w:tc>
          <w:tcPr>
            <w:tcW w:w="0" w:type="dxa"/>
            <w:vAlign w:val="bottom"/>
          </w:tcPr>
          <w:p>
            <w:pPr>
              <w:spacing w:after="0"/>
              <w:rPr>
                <w:sz w:val="1"/>
                <w:szCs w:val="1"/>
                <w:color w:val="auto"/>
              </w:rPr>
            </w:pPr>
          </w:p>
        </w:tc>
      </w:tr>
      <w:tr>
        <w:trPr>
          <w:trHeight w:val="221"/>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EVP and Chief Financial Officer</w:t>
            </w: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auto"/>
              <w:right w:val="single" w:sz="8" w:color="auto"/>
            </w:tcBorders>
          </w:tcPr>
          <w:p>
            <w:pPr>
              <w:spacing w:after="0"/>
              <w:rPr>
                <w:sz w:val="15"/>
                <w:szCs w:val="15"/>
                <w:color w:val="auto"/>
              </w:rPr>
            </w:pPr>
          </w:p>
        </w:tc>
        <w:tc>
          <w:tcPr>
            <w:tcW w:w="11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416,385</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946,264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1,131,829</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12,200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2,506,678</w:t>
            </w: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John C. Ivascu</w:t>
            </w:r>
          </w:p>
        </w:tc>
        <w:tc>
          <w:tcPr>
            <w:tcW w:w="11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375,385</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924,041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232,438</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15,220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1,547,084</w:t>
            </w:r>
          </w:p>
        </w:tc>
        <w:tc>
          <w:tcPr>
            <w:tcW w:w="0" w:type="dxa"/>
            <w:vAlign w:val="bottom"/>
          </w:tcPr>
          <w:p>
            <w:pPr>
              <w:spacing w:after="0"/>
              <w:rPr>
                <w:sz w:val="1"/>
                <w:szCs w:val="1"/>
                <w:color w:val="auto"/>
              </w:rPr>
            </w:pPr>
          </w:p>
        </w:tc>
      </w:tr>
      <w:tr>
        <w:trPr>
          <w:trHeight w:val="221"/>
        </w:trPr>
        <w:tc>
          <w:tcPr>
            <w:tcW w:w="336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EVP, General Counsel, Chief Compliance Officer and</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33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1120" w:type="dxa"/>
            <w:vAlign w:val="bottom"/>
            <w:tcBorders>
              <w:right w:val="single" w:sz="8" w:color="auto"/>
            </w:tcBorders>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346,000</w:t>
            </w:r>
          </w:p>
        </w:tc>
        <w:tc>
          <w:tcPr>
            <w:tcW w:w="11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615,072</w:t>
            </w:r>
          </w:p>
        </w:tc>
        <w:tc>
          <w:tcPr>
            <w:tcW w:w="11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1,243,665</w:t>
            </w:r>
          </w:p>
        </w:tc>
        <w:tc>
          <w:tcPr>
            <w:tcW w:w="11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12,200</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2,216,937</w:t>
            </w:r>
          </w:p>
        </w:tc>
        <w:tc>
          <w:tcPr>
            <w:tcW w:w="0" w:type="dxa"/>
            <w:vAlign w:val="bottom"/>
          </w:tcPr>
          <w:p>
            <w:pPr>
              <w:spacing w:after="0"/>
              <w:rPr>
                <w:sz w:val="1"/>
                <w:szCs w:val="1"/>
                <w:color w:val="auto"/>
              </w:rPr>
            </w:pPr>
          </w:p>
        </w:tc>
      </w:tr>
      <w:tr>
        <w:trPr>
          <w:trHeight w:val="100"/>
        </w:trPr>
        <w:tc>
          <w:tcPr>
            <w:tcW w:w="33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Secretary</w:t>
            </w: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3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shd w:val="clear" w:color="auto" w:fill="CCEEFF"/>
          </w:tcPr>
          <w:p>
            <w:pPr>
              <w:spacing w:after="0"/>
              <w:rPr>
                <w:sz w:val="7"/>
                <w:szCs w:val="7"/>
                <w:color w:val="auto"/>
              </w:rPr>
            </w:pPr>
          </w:p>
        </w:tc>
        <w:tc>
          <w:tcPr>
            <w:tcW w:w="11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3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20" w:hanging="316"/>
        <w:spacing w:after="0" w:line="255" w:lineRule="auto"/>
        <w:tabs>
          <w:tab w:leader="none" w:pos="31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reflects the grant date fair value of restricted stock units (“RSUs”), phantom units, and performance-based restricted stock units (“Performance RSUs”), as applicable, as determined in accordance with FASB Accounting Standards Codification Topic 718. The grant date fair value of phantom stock units and RSUs granted in 2023 and 2022 was $31.70 and $18.94 per unit, respectively, based on the closing price of a share of our common stock on the applicable date of grant. The grant date fair value of Performance RSUs granted in 2023 ranged from $42.91 to $49.57 per unit, which was determined using a Monte Carlo simulation including the following assumptions: (a) grant date stock price of $31.70 ; (b) simulation term of 3 years; (c) volatility of 92.11%; (d) a dividend yield of 0.00%; and (e) a risk free investment rate of 4.26%. The grant date fair value of Performance RSUs granted in 2022 ranged from $16.13 to $17.66 per unit, which was determined using a Monte Carlo simulation including the following assumptions: (a) grant date stock price of $18.94; (b) a hurdle price of $23.68; (c) simulation term of 3 years;</w:t>
      </w:r>
    </w:p>
    <w:p>
      <w:pPr>
        <w:spacing w:after="0" w:line="2" w:lineRule="exact"/>
        <w:rPr>
          <w:rFonts w:ascii="Times New Roman" w:cs="Times New Roman" w:eastAsia="Times New Roman" w:hAnsi="Times New Roman"/>
          <w:sz w:val="13"/>
          <w:szCs w:val="13"/>
          <w:color w:val="auto"/>
        </w:rPr>
      </w:pPr>
    </w:p>
    <w:p>
      <w:pPr>
        <w:ind w:left="320" w:hanging="2"/>
        <w:spacing w:after="0"/>
        <w:tabs>
          <w:tab w:leader="none" w:pos="519"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of 100.50%; (e) a dividend yield of 0.00%; and (f) a risk free investment rate of 1.67%. For additional information, see Note 15 to our consolidated financial statements in our annual report on Form 10-K for the year ended December 31, 2023.</w:t>
      </w:r>
    </w:p>
    <w:p>
      <w:pPr>
        <w:spacing w:after="0" w:line="79" w:lineRule="exact"/>
        <w:rPr>
          <w:rFonts w:ascii="Times New Roman" w:cs="Times New Roman" w:eastAsia="Times New Roman" w:hAnsi="Times New Roman"/>
          <w:sz w:val="14"/>
          <w:szCs w:val="14"/>
          <w:color w:val="auto"/>
        </w:rPr>
      </w:pPr>
    </w:p>
    <w:p>
      <w:pPr>
        <w:ind w:left="320" w:hanging="316"/>
        <w:spacing w:after="0" w:line="264" w:lineRule="auto"/>
        <w:tabs>
          <w:tab w:leader="none" w:pos="3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(i) for 2023 and 2022, the Executive Management Incentive Plan award payments that we made to each individual for service in the applicable fiscal year, which were paid during the first quarter of 2024 and 2023, respectively, and (ii) for 2022, the cash payment under each NEO’s three-year cash based performance award granted in 2020.</w:t>
      </w:r>
    </w:p>
    <w:p>
      <w:pPr>
        <w:spacing w:after="0" w:line="76"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Company matching contributions under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Elements of Total Direct Compensation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elements of total direct compensation for 2023 for our NEOs are listed below, together with the objectives that we believe each element supports.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00" w:type="dxa"/>
            <w:vAlign w:val="bottom"/>
            <w:tcBorders>
              <w:top w:val="single" w:sz="8" w:color="auto"/>
              <w:left w:val="single" w:sz="8" w:color="auto"/>
              <w:bottom w:val="single" w:sz="8" w:color="auto"/>
            </w:tcBorders>
            <w:shd w:val="clear" w:color="auto" w:fill="051E68"/>
          </w:tcPr>
          <w:p>
            <w:pPr>
              <w:spacing w:after="0"/>
              <w:rPr>
                <w:sz w:val="22"/>
                <w:szCs w:val="22"/>
                <w:color w:val="auto"/>
              </w:rPr>
            </w:pPr>
          </w:p>
        </w:tc>
        <w:tc>
          <w:tcPr>
            <w:tcW w:w="5360" w:type="dxa"/>
            <w:vAlign w:val="bottom"/>
            <w:tcBorders>
              <w:top w:val="single" w:sz="8" w:color="auto"/>
              <w:bottom w:val="single" w:sz="8" w:color="auto"/>
            </w:tcBorders>
            <w:shd w:val="clear" w:color="auto" w:fill="051E68"/>
          </w:tcPr>
          <w:p>
            <w:pPr>
              <w:ind w:left="2280"/>
              <w:spacing w:after="0"/>
              <w:rPr>
                <w:sz w:val="20"/>
                <w:szCs w:val="20"/>
                <w:color w:val="auto"/>
              </w:rPr>
            </w:pPr>
            <w:r>
              <w:rPr>
                <w:rFonts w:ascii="Times New Roman" w:cs="Times New Roman" w:eastAsia="Times New Roman" w:hAnsi="Times New Roman"/>
                <w:sz w:val="17"/>
                <w:szCs w:val="17"/>
                <w:b w:val="1"/>
                <w:bCs w:val="1"/>
                <w:color w:val="FFFFFF"/>
              </w:rPr>
              <w:t>Element</w:t>
            </w:r>
          </w:p>
        </w:tc>
        <w:tc>
          <w:tcPr>
            <w:tcW w:w="5600" w:type="dxa"/>
            <w:vAlign w:val="bottom"/>
            <w:tcBorders>
              <w:top w:val="single" w:sz="8" w:color="auto"/>
              <w:bottom w:val="single" w:sz="8" w:color="auto"/>
              <w:right w:val="single" w:sz="8" w:color="auto"/>
            </w:tcBorders>
            <w:shd w:val="clear" w:color="auto" w:fill="051E68"/>
          </w:tcPr>
          <w:p>
            <w:pPr>
              <w:ind w:left="2440"/>
              <w:spacing w:after="0"/>
              <w:rPr>
                <w:sz w:val="20"/>
                <w:szCs w:val="20"/>
                <w:color w:val="auto"/>
              </w:rPr>
            </w:pPr>
            <w:r>
              <w:rPr>
                <w:rFonts w:ascii="Times New Roman" w:cs="Times New Roman" w:eastAsia="Times New Roman" w:hAnsi="Times New Roman"/>
                <w:sz w:val="17"/>
                <w:szCs w:val="17"/>
                <w:b w:val="1"/>
                <w:bCs w:val="1"/>
                <w:color w:val="FFFFFF"/>
              </w:rPr>
              <w:t>Objectives</w:t>
            </w:r>
          </w:p>
        </w:tc>
        <w:tc>
          <w:tcPr>
            <w:tcW w:w="0" w:type="dxa"/>
            <w:vAlign w:val="bottom"/>
          </w:tcPr>
          <w:p>
            <w:pPr>
              <w:spacing w:after="0"/>
              <w:rPr>
                <w:sz w:val="1"/>
                <w:szCs w:val="1"/>
                <w:color w:val="auto"/>
              </w:rPr>
            </w:pPr>
          </w:p>
        </w:tc>
      </w:tr>
      <w:tr>
        <w:trPr>
          <w:trHeight w:val="234"/>
        </w:trPr>
        <w:tc>
          <w:tcPr>
            <w:tcW w:w="300" w:type="dxa"/>
            <w:vAlign w:val="bottom"/>
            <w:tcBorders>
              <w:left w:val="single" w:sz="8" w:color="auto"/>
            </w:tcBorders>
            <w:shd w:val="clear" w:color="auto" w:fill="CCEEFF"/>
          </w:tcPr>
          <w:p>
            <w:pPr>
              <w:spacing w:after="0"/>
              <w:rPr>
                <w:sz w:val="20"/>
                <w:szCs w:val="20"/>
                <w:color w:val="auto"/>
              </w:rPr>
            </w:pPr>
          </w:p>
        </w:tc>
        <w:tc>
          <w:tcPr>
            <w:tcW w:w="10960" w:type="dxa"/>
            <w:vAlign w:val="bottom"/>
            <w:tcBorders>
              <w:right w:val="single" w:sz="8" w:color="auto"/>
            </w:tcBorders>
            <w:gridSpan w:val="2"/>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0" w:type="dxa"/>
            <w:vAlign w:val="bottom"/>
          </w:tcPr>
          <w:p>
            <w:pPr>
              <w:spacing w:after="0"/>
              <w:rPr>
                <w:sz w:val="1"/>
                <w:szCs w:val="1"/>
                <w:color w:val="auto"/>
              </w:rPr>
            </w:pPr>
          </w:p>
        </w:tc>
      </w:tr>
      <w:tr>
        <w:trPr>
          <w:trHeight w:val="248"/>
        </w:trPr>
        <w:tc>
          <w:tcPr>
            <w:tcW w:w="5660" w:type="dxa"/>
            <w:vAlign w:val="bottom"/>
            <w:tcBorders>
              <w:lef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Fixed annual cash salary paid to the executive</w:t>
            </w:r>
          </w:p>
        </w:tc>
        <w:tc>
          <w:tcPr>
            <w:tcW w:w="5600" w:type="dxa"/>
            <w:vAlign w:val="bottom"/>
            <w:tcBorders>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Provides a competitive fixed payment to the executive for his or her</w:t>
            </w:r>
          </w:p>
        </w:tc>
        <w:tc>
          <w:tcPr>
            <w:tcW w:w="0" w:type="dxa"/>
            <w:vAlign w:val="bottom"/>
          </w:tcPr>
          <w:p>
            <w:pPr>
              <w:spacing w:after="0"/>
              <w:rPr>
                <w:sz w:val="1"/>
                <w:szCs w:val="1"/>
                <w:color w:val="auto"/>
              </w:rPr>
            </w:pPr>
          </w:p>
        </w:tc>
      </w:tr>
      <w:tr>
        <w:trPr>
          <w:trHeight w:val="86"/>
        </w:trPr>
        <w:tc>
          <w:tcPr>
            <w:tcW w:w="300" w:type="dxa"/>
            <w:vAlign w:val="bottom"/>
            <w:tcBorders>
              <w:left w:val="single" w:sz="8" w:color="auto"/>
            </w:tcBorders>
            <w:shd w:val="clear" w:color="auto" w:fill="CCEEFF"/>
          </w:tcPr>
          <w:p>
            <w:pPr>
              <w:spacing w:after="0"/>
              <w:rPr>
                <w:sz w:val="7"/>
                <w:szCs w:val="7"/>
                <w:color w:val="auto"/>
              </w:rPr>
            </w:pPr>
          </w:p>
        </w:tc>
        <w:tc>
          <w:tcPr>
            <w:tcW w:w="5360" w:type="dxa"/>
            <w:vAlign w:val="bottom"/>
            <w:shd w:val="clear" w:color="auto" w:fill="CCEEFF"/>
          </w:tcPr>
          <w:p>
            <w:pPr>
              <w:spacing w:after="0"/>
              <w:rPr>
                <w:sz w:val="7"/>
                <w:szCs w:val="7"/>
                <w:color w:val="auto"/>
              </w:rPr>
            </w:pPr>
          </w:p>
        </w:tc>
        <w:tc>
          <w:tcPr>
            <w:tcW w:w="56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shd w:val="clear" w:color="auto" w:fill="CCEEFF"/>
          </w:tcPr>
          <w:p>
            <w:pPr>
              <w:spacing w:after="0"/>
              <w:rPr>
                <w:sz w:val="19"/>
                <w:szCs w:val="19"/>
                <w:color w:val="auto"/>
              </w:rPr>
            </w:pPr>
          </w:p>
        </w:tc>
        <w:tc>
          <w:tcPr>
            <w:tcW w:w="5360" w:type="dxa"/>
            <w:vAlign w:val="bottom"/>
            <w:shd w:val="clear" w:color="auto" w:fill="CCEEFF"/>
          </w:tcPr>
          <w:p>
            <w:pPr>
              <w:spacing w:after="0"/>
              <w:rPr>
                <w:sz w:val="19"/>
                <w:szCs w:val="19"/>
                <w:color w:val="auto"/>
              </w:rPr>
            </w:pPr>
          </w:p>
        </w:tc>
        <w:tc>
          <w:tcPr>
            <w:tcW w:w="560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 experience and skill</w:t>
            </w:r>
          </w:p>
        </w:tc>
        <w:tc>
          <w:tcPr>
            <w:tcW w:w="0" w:type="dxa"/>
            <w:vAlign w:val="bottom"/>
          </w:tcPr>
          <w:p>
            <w:pPr>
              <w:spacing w:after="0"/>
              <w:rPr>
                <w:sz w:val="1"/>
                <w:szCs w:val="1"/>
                <w:color w:val="auto"/>
              </w:rPr>
            </w:pPr>
          </w:p>
        </w:tc>
      </w:tr>
      <w:tr>
        <w:trPr>
          <w:trHeight w:val="345"/>
        </w:trPr>
        <w:tc>
          <w:tcPr>
            <w:tcW w:w="300" w:type="dxa"/>
            <w:vAlign w:val="bottom"/>
            <w:tcBorders>
              <w:left w:val="single" w:sz="8" w:color="auto"/>
              <w:bottom w:val="single" w:sz="8" w:color="CCEEFF"/>
            </w:tcBorders>
            <w:shd w:val="clear" w:color="auto" w:fill="CCEEFF"/>
          </w:tcPr>
          <w:p>
            <w:pPr>
              <w:spacing w:after="0"/>
              <w:rPr>
                <w:sz w:val="24"/>
                <w:szCs w:val="24"/>
                <w:color w:val="auto"/>
              </w:rPr>
            </w:pPr>
          </w:p>
        </w:tc>
        <w:tc>
          <w:tcPr>
            <w:tcW w:w="536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Set at a reasonable level that allows us to attract and retain top talent</w:t>
            </w:r>
          </w:p>
        </w:tc>
        <w:tc>
          <w:tcPr>
            <w:tcW w:w="0" w:type="dxa"/>
            <w:vAlign w:val="bottom"/>
          </w:tcPr>
          <w:p>
            <w:pPr>
              <w:spacing w:after="0"/>
              <w:rPr>
                <w:sz w:val="1"/>
                <w:szCs w:val="1"/>
                <w:color w:val="auto"/>
              </w:rPr>
            </w:pPr>
          </w:p>
        </w:tc>
      </w:tr>
      <w:tr>
        <w:trPr>
          <w:trHeight w:val="228"/>
        </w:trPr>
        <w:tc>
          <w:tcPr>
            <w:tcW w:w="300" w:type="dxa"/>
            <w:vAlign w:val="bottom"/>
            <w:tcBorders>
              <w:top w:val="single" w:sz="8" w:color="auto"/>
              <w:lef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2"/>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Short-Term Cash Incentive</w:t>
            </w: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Cash bonus opportunity</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Aligns the compensation of executives with our annual financial and non-</w:t>
            </w:r>
          </w:p>
        </w:tc>
        <w:tc>
          <w:tcPr>
            <w:tcW w:w="0" w:type="dxa"/>
            <w:vAlign w:val="bottom"/>
          </w:tcPr>
          <w:p>
            <w:pPr>
              <w:spacing w:after="0"/>
              <w:rPr>
                <w:sz w:val="1"/>
                <w:szCs w:val="1"/>
                <w:color w:val="auto"/>
              </w:rPr>
            </w:pPr>
          </w:p>
        </w:tc>
      </w:tr>
      <w:tr>
        <w:trPr>
          <w:trHeight w:val="136"/>
        </w:trPr>
        <w:tc>
          <w:tcPr>
            <w:tcW w:w="300" w:type="dxa"/>
            <w:vAlign w:val="bottom"/>
            <w:tcBorders>
              <w:left w:val="single" w:sz="8" w:color="auto"/>
            </w:tcBorders>
            <w:vMerge w:val="continue"/>
          </w:tcPr>
          <w:p>
            <w:pPr>
              <w:spacing w:after="0"/>
              <w:rPr>
                <w:sz w:val="11"/>
                <w:szCs w:val="11"/>
                <w:color w:val="auto"/>
              </w:rPr>
            </w:pPr>
          </w:p>
        </w:tc>
        <w:tc>
          <w:tcPr>
            <w:tcW w:w="5360" w:type="dxa"/>
            <w:vAlign w:val="bottom"/>
            <w:vMerge w:val="continue"/>
          </w:tcPr>
          <w:p>
            <w:pPr>
              <w:spacing w:after="0"/>
              <w:rPr>
                <w:sz w:val="11"/>
                <w:szCs w:val="11"/>
                <w:color w:val="auto"/>
              </w:rPr>
            </w:pPr>
          </w:p>
        </w:tc>
        <w:tc>
          <w:tcPr>
            <w:tcW w:w="56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7"/>
                <w:szCs w:val="17"/>
                <w:color w:val="auto"/>
              </w:rPr>
              <w:t>financial performance and achievement of EBITDA, free cash flow, safety</w:t>
            </w:r>
          </w:p>
        </w:tc>
        <w:tc>
          <w:tcPr>
            <w:tcW w:w="0" w:type="dxa"/>
            <w:vAlign w:val="bottom"/>
          </w:tcPr>
          <w:p>
            <w:pPr>
              <w:spacing w:after="0"/>
              <w:rPr>
                <w:sz w:val="1"/>
                <w:szCs w:val="1"/>
                <w:color w:val="auto"/>
              </w:rPr>
            </w:pPr>
          </w:p>
        </w:tc>
      </w:tr>
      <w:tr>
        <w:trPr>
          <w:trHeight w:val="60"/>
        </w:trPr>
        <w:tc>
          <w:tcPr>
            <w:tcW w:w="300" w:type="dxa"/>
            <w:vAlign w:val="bottom"/>
            <w:tcBorders>
              <w:left w:val="single" w:sz="8" w:color="auto"/>
            </w:tcBorders>
          </w:tcPr>
          <w:p>
            <w:pPr>
              <w:spacing w:after="0"/>
              <w:rPr>
                <w:sz w:val="5"/>
                <w:szCs w:val="5"/>
                <w:color w:val="auto"/>
              </w:rPr>
            </w:pPr>
          </w:p>
        </w:tc>
        <w:tc>
          <w:tcPr>
            <w:tcW w:w="5360" w:type="dxa"/>
            <w:vAlign w:val="bottom"/>
          </w:tcPr>
          <w:p>
            <w:pPr>
              <w:spacing w:after="0"/>
              <w:rPr>
                <w:sz w:val="5"/>
                <w:szCs w:val="5"/>
                <w:color w:val="auto"/>
              </w:rPr>
            </w:pPr>
          </w:p>
        </w:tc>
        <w:tc>
          <w:tcPr>
            <w:tcW w:w="5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56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   Payable based upon achievement of annual financial and operational</w:t>
            </w:r>
          </w:p>
        </w:tc>
        <w:tc>
          <w:tcPr>
            <w:tcW w:w="56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and strategic business objectives</w:t>
            </w: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goals</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0" w:type="dxa"/>
            <w:vAlign w:val="bottom"/>
            <w:tcBorders>
              <w:left w:val="single" w:sz="8" w:color="auto"/>
              <w:bottom w:val="single" w:sz="8" w:color="auto"/>
            </w:tcBorders>
          </w:tcPr>
          <w:p>
            <w:pPr>
              <w:spacing w:after="0"/>
              <w:rPr>
                <w:sz w:val="2"/>
                <w:szCs w:val="2"/>
                <w:color w:val="auto"/>
              </w:rPr>
            </w:pPr>
          </w:p>
        </w:tc>
        <w:tc>
          <w:tcPr>
            <w:tcW w:w="10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shd w:val="clear" w:color="auto" w:fill="CCEEFF"/>
          </w:tcPr>
          <w:p>
            <w:pPr>
              <w:spacing w:after="0"/>
              <w:rPr>
                <w:sz w:val="19"/>
                <w:szCs w:val="19"/>
                <w:color w:val="auto"/>
              </w:rPr>
            </w:pPr>
          </w:p>
        </w:tc>
        <w:tc>
          <w:tcPr>
            <w:tcW w:w="10960" w:type="dxa"/>
            <w:vAlign w:val="bottom"/>
            <w:tcBorders>
              <w:right w:val="single" w:sz="8" w:color="auto"/>
            </w:tcBorders>
            <w:gridSpan w:val="2"/>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Long-Term Incentive Awards</w:t>
            </w:r>
          </w:p>
        </w:tc>
        <w:tc>
          <w:tcPr>
            <w:tcW w:w="0" w:type="dxa"/>
            <w:vAlign w:val="bottom"/>
          </w:tcPr>
          <w:p>
            <w:pPr>
              <w:spacing w:after="0"/>
              <w:rPr>
                <w:sz w:val="1"/>
                <w:szCs w:val="1"/>
                <w:color w:val="auto"/>
              </w:rPr>
            </w:pPr>
          </w:p>
        </w:tc>
      </w:tr>
      <w:tr>
        <w:trPr>
          <w:trHeight w:val="352"/>
        </w:trPr>
        <w:tc>
          <w:tcPr>
            <w:tcW w:w="5660" w:type="dxa"/>
            <w:vAlign w:val="bottom"/>
            <w:tcBorders>
              <w:lef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Equity-based incentive awards vesting over multiple years</w:t>
            </w:r>
          </w:p>
        </w:tc>
        <w:tc>
          <w:tcPr>
            <w:tcW w:w="560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Provides strong retention value with multi-year vesting</w:t>
            </w:r>
          </w:p>
        </w:tc>
        <w:tc>
          <w:tcPr>
            <w:tcW w:w="0" w:type="dxa"/>
            <w:vAlign w:val="bottom"/>
          </w:tcPr>
          <w:p>
            <w:pPr>
              <w:spacing w:after="0"/>
              <w:rPr>
                <w:sz w:val="1"/>
                <w:szCs w:val="1"/>
                <w:color w:val="auto"/>
              </w:rPr>
            </w:pPr>
          </w:p>
        </w:tc>
      </w:tr>
      <w:tr>
        <w:trPr>
          <w:trHeight w:val="295"/>
        </w:trPr>
        <w:tc>
          <w:tcPr>
            <w:tcW w:w="5660" w:type="dxa"/>
            <w:vAlign w:val="bottom"/>
            <w:tcBorders>
              <w:lef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2023, we incentivized our NEOs through a combination of:</w:t>
            </w:r>
          </w:p>
        </w:tc>
        <w:tc>
          <w:tcPr>
            <w:tcW w:w="560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Promotes alignment between our NEOs and stockholders by encouraging</w:t>
            </w: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shd w:val="clear" w:color="auto" w:fill="CCEEFF"/>
          </w:tcPr>
          <w:p>
            <w:pPr>
              <w:spacing w:after="0"/>
              <w:rPr>
                <w:sz w:val="19"/>
                <w:szCs w:val="19"/>
                <w:color w:val="auto"/>
              </w:rPr>
            </w:pPr>
          </w:p>
        </w:tc>
        <w:tc>
          <w:tcPr>
            <w:tcW w:w="5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 Performance RSUs that vest over three years based on our</w:t>
            </w:r>
          </w:p>
        </w:tc>
        <w:tc>
          <w:tcPr>
            <w:tcW w:w="560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development of long-term equity ownership</w:t>
            </w:r>
          </w:p>
        </w:tc>
        <w:tc>
          <w:tcPr>
            <w:tcW w:w="0" w:type="dxa"/>
            <w:vAlign w:val="bottom"/>
          </w:tcPr>
          <w:p>
            <w:pPr>
              <w:spacing w:after="0"/>
              <w:rPr>
                <w:sz w:val="1"/>
                <w:szCs w:val="1"/>
                <w:color w:val="auto"/>
              </w:rPr>
            </w:pPr>
          </w:p>
        </w:tc>
      </w:tr>
      <w:tr>
        <w:trPr>
          <w:trHeight w:val="86"/>
        </w:trPr>
        <w:tc>
          <w:tcPr>
            <w:tcW w:w="300" w:type="dxa"/>
            <w:vAlign w:val="bottom"/>
            <w:tcBorders>
              <w:left w:val="single" w:sz="8" w:color="auto"/>
            </w:tcBorders>
            <w:shd w:val="clear" w:color="auto" w:fill="CCEEFF"/>
          </w:tcPr>
          <w:p>
            <w:pPr>
              <w:spacing w:after="0"/>
              <w:rPr>
                <w:sz w:val="7"/>
                <w:szCs w:val="7"/>
                <w:color w:val="auto"/>
              </w:rPr>
            </w:pPr>
          </w:p>
        </w:tc>
        <w:tc>
          <w:tcPr>
            <w:tcW w:w="5360" w:type="dxa"/>
            <w:vAlign w:val="bottom"/>
            <w:vMerge w:val="continue"/>
            <w:shd w:val="clear" w:color="auto" w:fill="CCEEFF"/>
          </w:tcPr>
          <w:p>
            <w:pPr>
              <w:spacing w:after="0"/>
              <w:rPr>
                <w:sz w:val="7"/>
                <w:szCs w:val="7"/>
                <w:color w:val="auto"/>
              </w:rPr>
            </w:pPr>
          </w:p>
        </w:tc>
        <w:tc>
          <w:tcPr>
            <w:tcW w:w="560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tcBorders>
            <w:shd w:val="clear" w:color="auto" w:fill="CCEEFF"/>
          </w:tcPr>
          <w:p>
            <w:pPr>
              <w:spacing w:after="0"/>
              <w:rPr>
                <w:sz w:val="18"/>
                <w:szCs w:val="18"/>
                <w:color w:val="auto"/>
              </w:rPr>
            </w:pP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absolute  and  relative  total  shareholder  return  (“TSR”)  and</w:t>
            </w:r>
          </w:p>
        </w:tc>
        <w:tc>
          <w:tcPr>
            <w:tcW w:w="560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Aligns the compensation of our NEOs with our performance by linking</w:t>
            </w: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shd w:val="clear" w:color="auto" w:fill="CCEEFF"/>
          </w:tcPr>
          <w:p>
            <w:pPr>
              <w:spacing w:after="0"/>
              <w:rPr>
                <w:sz w:val="19"/>
                <w:szCs w:val="19"/>
                <w:color w:val="auto"/>
              </w:rPr>
            </w:pPr>
          </w:p>
        </w:tc>
        <w:tc>
          <w:tcPr>
            <w:tcW w:w="5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continuous service; and</w:t>
            </w:r>
          </w:p>
        </w:tc>
        <w:tc>
          <w:tcPr>
            <w:tcW w:w="560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payments directly to our absolute and relative stock price performance</w:t>
            </w:r>
          </w:p>
        </w:tc>
        <w:tc>
          <w:tcPr>
            <w:tcW w:w="0" w:type="dxa"/>
            <w:vAlign w:val="bottom"/>
          </w:tcPr>
          <w:p>
            <w:pPr>
              <w:spacing w:after="0"/>
              <w:rPr>
                <w:sz w:val="1"/>
                <w:szCs w:val="1"/>
                <w:color w:val="auto"/>
              </w:rPr>
            </w:pPr>
          </w:p>
        </w:tc>
      </w:tr>
      <w:tr>
        <w:trPr>
          <w:trHeight w:val="295"/>
        </w:trPr>
        <w:tc>
          <w:tcPr>
            <w:tcW w:w="300" w:type="dxa"/>
            <w:vAlign w:val="bottom"/>
            <w:tcBorders>
              <w:left w:val="single" w:sz="8" w:color="auto"/>
            </w:tcBorders>
            <w:shd w:val="clear" w:color="auto" w:fill="CCEEFF"/>
          </w:tcPr>
          <w:p>
            <w:pPr>
              <w:spacing w:after="0"/>
              <w:rPr>
                <w:sz w:val="24"/>
                <w:szCs w:val="24"/>
                <w:color w:val="auto"/>
              </w:rPr>
            </w:pP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 RSUs that vest ratably over three years based on continuous</w:t>
            </w:r>
          </w:p>
        </w:tc>
        <w:tc>
          <w:tcPr>
            <w:tcW w:w="56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shd w:val="clear" w:color="auto" w:fill="CCEEFF"/>
          </w:tcPr>
          <w:p>
            <w:pPr>
              <w:spacing w:after="0"/>
              <w:rPr>
                <w:sz w:val="19"/>
                <w:szCs w:val="19"/>
                <w:color w:val="auto"/>
              </w:rPr>
            </w:pPr>
          </w:p>
        </w:tc>
        <w:tc>
          <w:tcPr>
            <w:tcW w:w="5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service</w:t>
            </w:r>
          </w:p>
        </w:tc>
        <w:tc>
          <w:tcPr>
            <w:tcW w:w="5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tcBorders>
            <w:shd w:val="clear" w:color="auto" w:fill="CCEEFF"/>
          </w:tcPr>
          <w:p>
            <w:pPr>
              <w:spacing w:after="0"/>
              <w:rPr>
                <w:sz w:val="11"/>
                <w:szCs w:val="11"/>
                <w:color w:val="auto"/>
              </w:rPr>
            </w:pPr>
          </w:p>
        </w:tc>
        <w:tc>
          <w:tcPr>
            <w:tcW w:w="10960" w:type="dxa"/>
            <w:vAlign w:val="bottom"/>
            <w:tcBorders>
              <w:bottom w:val="single" w:sz="8" w:color="auto"/>
              <w:right w:val="single" w:sz="8" w:color="auto"/>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10960" w:type="dxa"/>
            <w:vAlign w:val="bottom"/>
            <w:tcBorders>
              <w:right w:val="single" w:sz="8" w:color="auto"/>
            </w:tcBorders>
            <w:gridSpan w:val="2"/>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Other Key Elements</w:t>
            </w:r>
          </w:p>
        </w:tc>
        <w:tc>
          <w:tcPr>
            <w:tcW w:w="0" w:type="dxa"/>
            <w:vAlign w:val="bottom"/>
          </w:tcPr>
          <w:p>
            <w:pPr>
              <w:spacing w:after="0"/>
              <w:rPr>
                <w:sz w:val="1"/>
                <w:szCs w:val="1"/>
                <w:color w:val="auto"/>
              </w:rPr>
            </w:pPr>
          </w:p>
        </w:tc>
      </w:tr>
      <w:tr>
        <w:trPr>
          <w:trHeight w:val="217"/>
        </w:trPr>
        <w:tc>
          <w:tcPr>
            <w:tcW w:w="56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   Participation in 401(k) Plan and health and welfare benefits</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Designed to be market-competitive to allow us to attract and retain key</w:t>
            </w:r>
          </w:p>
        </w:tc>
        <w:tc>
          <w:tcPr>
            <w:tcW w:w="0" w:type="dxa"/>
            <w:vAlign w:val="bottom"/>
          </w:tcPr>
          <w:p>
            <w:pPr>
              <w:spacing w:after="0"/>
              <w:rPr>
                <w:sz w:val="1"/>
                <w:szCs w:val="1"/>
                <w:color w:val="auto"/>
              </w:rPr>
            </w:pPr>
          </w:p>
        </w:tc>
      </w:tr>
      <w:tr>
        <w:trPr>
          <w:trHeight w:val="227"/>
        </w:trPr>
        <w:tc>
          <w:tcPr>
            <w:tcW w:w="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Severance benefits</w:t>
            </w:r>
          </w:p>
        </w:tc>
        <w:tc>
          <w:tcPr>
            <w:tcW w:w="56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talent</w:t>
            </w:r>
          </w:p>
        </w:tc>
        <w:tc>
          <w:tcPr>
            <w:tcW w:w="0" w:type="dxa"/>
            <w:vAlign w:val="bottom"/>
          </w:tcPr>
          <w:p>
            <w:pPr>
              <w:spacing w:after="0"/>
              <w:rPr>
                <w:sz w:val="1"/>
                <w:szCs w:val="1"/>
                <w:color w:val="auto"/>
              </w:rPr>
            </w:pPr>
          </w:p>
        </w:tc>
      </w:tr>
      <w:tr>
        <w:trPr>
          <w:trHeight w:val="117"/>
        </w:trPr>
        <w:tc>
          <w:tcPr>
            <w:tcW w:w="300" w:type="dxa"/>
            <w:vAlign w:val="bottom"/>
            <w:tcBorders>
              <w:left w:val="single" w:sz="8" w:color="auto"/>
            </w:tcBorders>
            <w:vMerge w:val="continue"/>
          </w:tcPr>
          <w:p>
            <w:pPr>
              <w:spacing w:after="0"/>
              <w:rPr>
                <w:sz w:val="10"/>
                <w:szCs w:val="10"/>
                <w:color w:val="auto"/>
              </w:rPr>
            </w:pPr>
          </w:p>
        </w:tc>
        <w:tc>
          <w:tcPr>
            <w:tcW w:w="5360" w:type="dxa"/>
            <w:vAlign w:val="bottom"/>
            <w:vMerge w:val="continue"/>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0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60"/>
          </w:cols>
          <w:pgMar w:left="320" w:top="1440" w:right="319" w:bottom="1440" w:gutter="0" w:footer="0" w:header="0"/>
        </w:sectPr>
      </w:pPr>
    </w:p>
    <w:bookmarkStart w:id="41" w:name="page42"/>
    <w:bookmarkEnd w:id="41"/>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0" w:lineRule="exact"/>
        <w:rPr>
          <w:sz w:val="20"/>
          <w:szCs w:val="20"/>
          <w:color w:val="auto"/>
        </w:rPr>
      </w:pPr>
    </w:p>
    <w:p>
      <w:pPr>
        <w:jc w:val="both"/>
        <w:ind w:right="20" w:firstLine="470"/>
        <w:spacing w:after="0" w:line="244" w:lineRule="auto"/>
        <w:rPr>
          <w:sz w:val="20"/>
          <w:szCs w:val="20"/>
          <w:color w:val="auto"/>
        </w:rPr>
      </w:pPr>
      <w:r>
        <w:rPr>
          <w:rFonts w:ascii="Times New Roman" w:cs="Times New Roman" w:eastAsia="Times New Roman" w:hAnsi="Times New Roman"/>
          <w:sz w:val="17"/>
          <w:szCs w:val="17"/>
          <w:color w:val="auto"/>
        </w:rPr>
        <w:t>Base salary is the fixed annual compensation we pay to each NEO for performing specific job responsibilities and is based on the executive’s level of experience and requisite skills. It represents the minimum income an NEO may receive in any year. Base salaries are determined for each NEO annually as well as at the time of any promotion or significant change in job responsibilities. In connection with each review, we consider the executive</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s position and responsibility as well as individual and company performance over the course of the prior year. The severance agreements we maintain with the NEOs (described in greater detail below) provide that base salaries will generally not be reduced during the annual review unless the decrease is in connection with a similar reduction applicable to all of our executive officers of no more than 10% of the executive’s base salary.</w:t>
      </w:r>
    </w:p>
    <w:p>
      <w:pPr>
        <w:spacing w:after="0" w:line="204" w:lineRule="exact"/>
        <w:rPr>
          <w:sz w:val="20"/>
          <w:szCs w:val="20"/>
          <w:color w:val="auto"/>
        </w:rPr>
      </w:pPr>
    </w:p>
    <w:p>
      <w:pPr>
        <w:jc w:val="both"/>
        <w:ind w:right="20" w:firstLine="470"/>
        <w:spacing w:after="0" w:line="279" w:lineRule="auto"/>
        <w:rPr>
          <w:sz w:val="20"/>
          <w:szCs w:val="20"/>
          <w:color w:val="auto"/>
        </w:rPr>
      </w:pPr>
      <w:r>
        <w:rPr>
          <w:rFonts w:ascii="Times New Roman" w:cs="Times New Roman" w:eastAsia="Times New Roman" w:hAnsi="Times New Roman"/>
          <w:sz w:val="17"/>
          <w:szCs w:val="17"/>
          <w:color w:val="auto"/>
        </w:rPr>
        <w:t>The table below sets forth each NEO’s base salary as of December 31, 2022 and 2023, together with the percentage increase. In February 2023, the base salary for each NEO was increased taking into consideration peer company data and the strong performance of our NEOs.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440" w:type="dxa"/>
            <w:vAlign w:val="bottom"/>
            <w:tcBorders>
              <w:top w:val="single" w:sz="8" w:color="auto"/>
              <w:left w:val="single" w:sz="8" w:color="auto"/>
            </w:tcBorders>
            <w:vMerge w:val="restart"/>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3660" w:type="dxa"/>
            <w:vAlign w:val="bottom"/>
            <w:tcBorders>
              <w:top w:val="single" w:sz="8" w:color="auto"/>
            </w:tcBorders>
            <w:shd w:val="clear" w:color="auto" w:fill="050F70"/>
          </w:tcPr>
          <w:p>
            <w:pPr>
              <w:jc w:val="right"/>
              <w:ind w:right="33"/>
              <w:spacing w:after="0"/>
              <w:rPr>
                <w:sz w:val="20"/>
                <w:szCs w:val="20"/>
                <w:color w:val="auto"/>
              </w:rPr>
            </w:pPr>
            <w:r>
              <w:rPr>
                <w:rFonts w:ascii="Times New Roman" w:cs="Times New Roman" w:eastAsia="Times New Roman" w:hAnsi="Times New Roman"/>
                <w:sz w:val="17"/>
                <w:szCs w:val="17"/>
                <w:b w:val="1"/>
                <w:bCs w:val="1"/>
                <w:color w:val="FFFFFF"/>
              </w:rPr>
              <w:t>Base Salary as of December 31,</w:t>
            </w:r>
          </w:p>
        </w:tc>
        <w:tc>
          <w:tcPr>
            <w:tcW w:w="2680" w:type="dxa"/>
            <w:vAlign w:val="bottom"/>
            <w:tcBorders>
              <w:top w:val="single" w:sz="8" w:color="auto"/>
            </w:tcBorders>
            <w:shd w:val="clear" w:color="auto" w:fill="050F70"/>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Base Salary as of December 31,</w:t>
            </w:r>
          </w:p>
        </w:tc>
        <w:tc>
          <w:tcPr>
            <w:tcW w:w="2440" w:type="dxa"/>
            <w:vAlign w:val="bottom"/>
            <w:tcBorders>
              <w:top w:val="single" w:sz="8" w:color="auto"/>
              <w:right w:val="single" w:sz="8" w:color="auto"/>
            </w:tcBorders>
            <w:shd w:val="clear" w:color="auto" w:fill="050F70"/>
          </w:tcPr>
          <w:p>
            <w:pPr>
              <w:ind w:left="240"/>
              <w:spacing w:after="0"/>
              <w:rPr>
                <w:sz w:val="20"/>
                <w:szCs w:val="20"/>
                <w:color w:val="auto"/>
              </w:rPr>
            </w:pPr>
            <w:r>
              <w:rPr>
                <w:rFonts w:ascii="Times New Roman" w:cs="Times New Roman" w:eastAsia="Times New Roman" w:hAnsi="Times New Roman"/>
                <w:sz w:val="17"/>
                <w:szCs w:val="17"/>
                <w:b w:val="1"/>
                <w:bCs w:val="1"/>
                <w:color w:val="FFFFFF"/>
              </w:rPr>
              <w:t>Percentage Increase (%)</w:t>
            </w:r>
          </w:p>
        </w:tc>
        <w:tc>
          <w:tcPr>
            <w:tcW w:w="0" w:type="dxa"/>
            <w:vAlign w:val="bottom"/>
          </w:tcPr>
          <w:p>
            <w:pPr>
              <w:spacing w:after="0"/>
              <w:rPr>
                <w:sz w:val="1"/>
                <w:szCs w:val="1"/>
                <w:color w:val="auto"/>
              </w:rPr>
            </w:pPr>
          </w:p>
        </w:tc>
      </w:tr>
      <w:tr>
        <w:trPr>
          <w:trHeight w:val="138"/>
        </w:trPr>
        <w:tc>
          <w:tcPr>
            <w:tcW w:w="2440" w:type="dxa"/>
            <w:vAlign w:val="bottom"/>
            <w:tcBorders>
              <w:left w:val="single" w:sz="8" w:color="auto"/>
            </w:tcBorders>
            <w:vMerge w:val="continue"/>
            <w:shd w:val="clear" w:color="auto" w:fill="050F70"/>
          </w:tcPr>
          <w:p>
            <w:pPr>
              <w:spacing w:after="0"/>
              <w:rPr>
                <w:sz w:val="11"/>
                <w:szCs w:val="11"/>
                <w:color w:val="auto"/>
              </w:rPr>
            </w:pPr>
          </w:p>
        </w:tc>
        <w:tc>
          <w:tcPr>
            <w:tcW w:w="3660" w:type="dxa"/>
            <w:vAlign w:val="bottom"/>
            <w:vMerge w:val="restart"/>
            <w:shd w:val="clear" w:color="auto" w:fill="050F70"/>
          </w:tcPr>
          <w:p>
            <w:pPr>
              <w:jc w:val="right"/>
              <w:ind w:right="913"/>
              <w:spacing w:after="0"/>
              <w:rPr>
                <w:sz w:val="20"/>
                <w:szCs w:val="20"/>
                <w:color w:val="auto"/>
              </w:rPr>
            </w:pPr>
            <w:r>
              <w:rPr>
                <w:rFonts w:ascii="Times New Roman" w:cs="Times New Roman" w:eastAsia="Times New Roman" w:hAnsi="Times New Roman"/>
                <w:sz w:val="17"/>
                <w:szCs w:val="17"/>
                <w:b w:val="1"/>
                <w:bCs w:val="1"/>
                <w:color w:val="FFFFFF"/>
              </w:rPr>
              <w:t>2022 ($)</w:t>
            </w:r>
          </w:p>
        </w:tc>
        <w:tc>
          <w:tcPr>
            <w:tcW w:w="2680" w:type="dxa"/>
            <w:vAlign w:val="bottom"/>
            <w:vMerge w:val="restart"/>
            <w:shd w:val="clear" w:color="auto" w:fill="050F70"/>
          </w:tcPr>
          <w:p>
            <w:pPr>
              <w:jc w:val="right"/>
              <w:ind w:right="1033"/>
              <w:spacing w:after="0"/>
              <w:rPr>
                <w:sz w:val="20"/>
                <w:szCs w:val="20"/>
                <w:color w:val="auto"/>
              </w:rPr>
            </w:pPr>
            <w:r>
              <w:rPr>
                <w:rFonts w:ascii="Times New Roman" w:cs="Times New Roman" w:eastAsia="Times New Roman" w:hAnsi="Times New Roman"/>
                <w:sz w:val="17"/>
                <w:szCs w:val="17"/>
                <w:b w:val="1"/>
                <w:bCs w:val="1"/>
                <w:color w:val="FFFFFF"/>
              </w:rPr>
              <w:t>2023 ($)</w:t>
            </w:r>
          </w:p>
        </w:tc>
        <w:tc>
          <w:tcPr>
            <w:tcW w:w="2440" w:type="dxa"/>
            <w:vAlign w:val="bottom"/>
            <w:tcBorders>
              <w:right w:val="single" w:sz="8" w:color="auto"/>
            </w:tcBorders>
            <w:shd w:val="clear" w:color="auto" w:fill="050F70"/>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Borders>
              <w:left w:val="single" w:sz="8" w:color="auto"/>
              <w:bottom w:val="single" w:sz="8" w:color="050F70"/>
            </w:tcBorders>
            <w:shd w:val="clear" w:color="auto" w:fill="050F70"/>
          </w:tcPr>
          <w:p>
            <w:pPr>
              <w:spacing w:after="0"/>
              <w:rPr>
                <w:sz w:val="8"/>
                <w:szCs w:val="8"/>
                <w:color w:val="auto"/>
              </w:rPr>
            </w:pPr>
          </w:p>
        </w:tc>
        <w:tc>
          <w:tcPr>
            <w:tcW w:w="3660" w:type="dxa"/>
            <w:vAlign w:val="bottom"/>
            <w:tcBorders>
              <w:bottom w:val="single" w:sz="8" w:color="050F70"/>
            </w:tcBorders>
            <w:vMerge w:val="continue"/>
            <w:shd w:val="clear" w:color="auto" w:fill="050F70"/>
          </w:tcPr>
          <w:p>
            <w:pPr>
              <w:spacing w:after="0"/>
              <w:rPr>
                <w:sz w:val="8"/>
                <w:szCs w:val="8"/>
                <w:color w:val="auto"/>
              </w:rPr>
            </w:pPr>
          </w:p>
        </w:tc>
        <w:tc>
          <w:tcPr>
            <w:tcW w:w="2680" w:type="dxa"/>
            <w:vAlign w:val="bottom"/>
            <w:tcBorders>
              <w:bottom w:val="single" w:sz="8" w:color="050F70"/>
            </w:tcBorders>
            <w:vMerge w:val="continue"/>
            <w:shd w:val="clear" w:color="auto" w:fill="050F70"/>
          </w:tcPr>
          <w:p>
            <w:pPr>
              <w:spacing w:after="0"/>
              <w:rPr>
                <w:sz w:val="8"/>
                <w:szCs w:val="8"/>
                <w:color w:val="auto"/>
              </w:rPr>
            </w:pPr>
          </w:p>
        </w:tc>
        <w:tc>
          <w:tcPr>
            <w:tcW w:w="2440" w:type="dxa"/>
            <w:vAlign w:val="bottom"/>
            <w:tcBorders>
              <w:bottom w:val="single" w:sz="8" w:color="050F70"/>
              <w:right w:val="single" w:sz="8" w:color="auto"/>
            </w:tcBorders>
            <w:shd w:val="clear" w:color="auto" w:fill="050F70"/>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4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Neal A. Lux</w:t>
            </w:r>
          </w:p>
        </w:tc>
        <w:tc>
          <w:tcPr>
            <w:tcW w:w="366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rPr>
              <w:t>600,000</w:t>
            </w:r>
          </w:p>
        </w:tc>
        <w:tc>
          <w:tcPr>
            <w:tcW w:w="268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675,000</w:t>
            </w:r>
          </w:p>
        </w:tc>
        <w:tc>
          <w:tcPr>
            <w:tcW w:w="2440" w:type="dxa"/>
            <w:vAlign w:val="bottom"/>
            <w:tcBorders>
              <w:bottom w:val="single" w:sz="8" w:color="CCEEFF"/>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27"/>
        </w:trPr>
        <w:tc>
          <w:tcPr>
            <w:tcW w:w="2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 Lyle Williams</w:t>
            </w:r>
          </w:p>
        </w:tc>
        <w:tc>
          <w:tcPr>
            <w:tcW w:w="366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rPr>
              <w:t>425,000</w:t>
            </w:r>
          </w:p>
        </w:tc>
        <w:tc>
          <w:tcPr>
            <w:tcW w:w="268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rPr>
              <w:t>470,000</w:t>
            </w:r>
          </w:p>
        </w:tc>
        <w:tc>
          <w:tcPr>
            <w:tcW w:w="2440" w:type="dxa"/>
            <w:vAlign w:val="bottom"/>
            <w:tcBorders>
              <w:right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1"/>
        </w:trPr>
        <w:tc>
          <w:tcPr>
            <w:tcW w:w="2440" w:type="dxa"/>
            <w:vAlign w:val="bottom"/>
            <w:tcBorders>
              <w:left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4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C. Ivascu</w:t>
            </w:r>
          </w:p>
        </w:tc>
        <w:tc>
          <w:tcPr>
            <w:tcW w:w="366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rPr>
              <w:t>350,000</w:t>
            </w:r>
          </w:p>
        </w:tc>
        <w:tc>
          <w:tcPr>
            <w:tcW w:w="268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380,000</w:t>
            </w:r>
          </w:p>
        </w:tc>
        <w:tc>
          <w:tcPr>
            <w:tcW w:w="2440" w:type="dxa"/>
            <w:vAlign w:val="bottom"/>
            <w:tcBorders>
              <w:bottom w:val="single" w:sz="8" w:color="CCEEFF"/>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
        </w:trPr>
        <w:tc>
          <w:tcPr>
            <w:tcW w:w="2440" w:type="dxa"/>
            <w:vAlign w:val="bottom"/>
            <w:tcBorders>
              <w:left w:val="single" w:sz="8" w:color="auto"/>
            </w:tcBorders>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9" w:lineRule="exact"/>
        <w:rPr>
          <w:sz w:val="20"/>
          <w:szCs w:val="20"/>
          <w:color w:val="auto"/>
        </w:rPr>
      </w:pPr>
    </w:p>
    <w:p>
      <w:pPr>
        <w:jc w:val="both"/>
        <w:ind w:right="20" w:firstLine="470"/>
        <w:spacing w:after="0" w:line="245" w:lineRule="auto"/>
        <w:rPr>
          <w:sz w:val="20"/>
          <w:szCs w:val="20"/>
          <w:color w:val="auto"/>
        </w:rPr>
      </w:pPr>
      <w:r>
        <w:rPr>
          <w:rFonts w:ascii="Times New Roman" w:cs="Times New Roman" w:eastAsia="Times New Roman" w:hAnsi="Times New Roman"/>
          <w:sz w:val="17"/>
          <w:szCs w:val="17"/>
          <w:color w:val="auto"/>
        </w:rPr>
        <w:t>Our Executive Management Incentive Plan (the “EMIP”) for 2023 was designed to incentivize and reward key executives having a significant impact on our achievement of overall corporate performance goals. The Compensation and Human Capital Committee, or board of directors in the case of Mr. Lux, approved each NEO’s target bonus opportunity for 2023 under the EMIP. The Compensation and Human Capital Committee determined to increase Mr. William’s target bonus opportunity by 5% for 2023 after taking into consideration peer company data and Mr. Williams’ performance during the year. The following table sets out the target and maximum bonus levels for 2023 for our NEOs expressed as a percentage of the individual’s base salary earned during the year:</w:t>
      </w: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80" w:type="dxa"/>
            <w:vAlign w:val="bottom"/>
            <w:tcBorders>
              <w:top w:val="single" w:sz="8" w:color="auto"/>
              <w:left w:val="single" w:sz="8" w:color="auto"/>
            </w:tcBorders>
            <w:vMerge w:val="restart"/>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4920" w:type="dxa"/>
            <w:vAlign w:val="bottom"/>
            <w:tcBorders>
              <w:top w:val="single" w:sz="8" w:color="auto"/>
            </w:tcBorders>
            <w:shd w:val="clear" w:color="auto" w:fill="050F70"/>
          </w:tcPr>
          <w:p>
            <w:pPr>
              <w:jc w:val="center"/>
              <w:ind w:left="2093"/>
              <w:spacing w:after="0" w:line="189" w:lineRule="exact"/>
              <w:rPr>
                <w:sz w:val="20"/>
                <w:szCs w:val="20"/>
                <w:color w:val="auto"/>
              </w:rPr>
            </w:pPr>
            <w:r>
              <w:rPr>
                <w:rFonts w:ascii="Times New Roman" w:cs="Times New Roman" w:eastAsia="Times New Roman" w:hAnsi="Times New Roman"/>
                <w:sz w:val="17"/>
                <w:szCs w:val="17"/>
                <w:b w:val="1"/>
                <w:bCs w:val="1"/>
                <w:color w:val="FFFFFF"/>
              </w:rPr>
              <w:t>Target Bonus (% of 2023 base</w:t>
            </w:r>
          </w:p>
        </w:tc>
        <w:tc>
          <w:tcPr>
            <w:tcW w:w="2660" w:type="dxa"/>
            <w:vAlign w:val="bottom"/>
            <w:tcBorders>
              <w:top w:val="single" w:sz="8" w:color="auto"/>
              <w:right w:val="single" w:sz="8" w:color="auto"/>
            </w:tcBorders>
            <w:shd w:val="clear" w:color="auto" w:fill="050F70"/>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FFFFFF"/>
              </w:rPr>
              <w:t>Max Bonus (% of 2023 base</w:t>
            </w:r>
          </w:p>
        </w:tc>
        <w:tc>
          <w:tcPr>
            <w:tcW w:w="0" w:type="dxa"/>
            <w:vAlign w:val="bottom"/>
          </w:tcPr>
          <w:p>
            <w:pPr>
              <w:spacing w:after="0"/>
              <w:rPr>
                <w:sz w:val="1"/>
                <w:szCs w:val="1"/>
                <w:color w:val="auto"/>
              </w:rPr>
            </w:pPr>
          </w:p>
        </w:tc>
      </w:tr>
      <w:tr>
        <w:trPr>
          <w:trHeight w:val="138"/>
        </w:trPr>
        <w:tc>
          <w:tcPr>
            <w:tcW w:w="3680" w:type="dxa"/>
            <w:vAlign w:val="bottom"/>
            <w:tcBorders>
              <w:left w:val="single" w:sz="8" w:color="auto"/>
            </w:tcBorders>
            <w:vMerge w:val="continue"/>
            <w:shd w:val="clear" w:color="auto" w:fill="050F70"/>
          </w:tcPr>
          <w:p>
            <w:pPr>
              <w:spacing w:after="0"/>
              <w:rPr>
                <w:sz w:val="11"/>
                <w:szCs w:val="11"/>
                <w:color w:val="auto"/>
              </w:rPr>
            </w:pPr>
          </w:p>
        </w:tc>
        <w:tc>
          <w:tcPr>
            <w:tcW w:w="4920" w:type="dxa"/>
            <w:vAlign w:val="bottom"/>
            <w:vMerge w:val="restart"/>
            <w:shd w:val="clear" w:color="auto" w:fill="050F70"/>
          </w:tcPr>
          <w:p>
            <w:pPr>
              <w:jc w:val="center"/>
              <w:ind w:left="2093"/>
              <w:spacing w:after="0"/>
              <w:rPr>
                <w:sz w:val="20"/>
                <w:szCs w:val="20"/>
                <w:color w:val="auto"/>
              </w:rPr>
            </w:pPr>
            <w:r>
              <w:rPr>
                <w:rFonts w:ascii="Times New Roman" w:cs="Times New Roman" w:eastAsia="Times New Roman" w:hAnsi="Times New Roman"/>
                <w:sz w:val="17"/>
                <w:szCs w:val="17"/>
                <w:b w:val="1"/>
                <w:bCs w:val="1"/>
                <w:color w:val="FFFFFF"/>
              </w:rPr>
              <w:t>salary earned)</w:t>
            </w:r>
          </w:p>
        </w:tc>
        <w:tc>
          <w:tcPr>
            <w:tcW w:w="2660" w:type="dxa"/>
            <w:vAlign w:val="bottom"/>
            <w:tcBorders>
              <w:right w:val="single" w:sz="8" w:color="auto"/>
            </w:tcBorders>
            <w:vMerge w:val="restart"/>
            <w:shd w:val="clear" w:color="auto" w:fill="050F70"/>
          </w:tcPr>
          <w:p>
            <w:pPr>
              <w:jc w:val="center"/>
              <w:spacing w:after="0"/>
              <w:rPr>
                <w:sz w:val="20"/>
                <w:szCs w:val="20"/>
                <w:color w:val="auto"/>
              </w:rPr>
            </w:pPr>
            <w:r>
              <w:rPr>
                <w:rFonts w:ascii="Times New Roman" w:cs="Times New Roman" w:eastAsia="Times New Roman" w:hAnsi="Times New Roman"/>
                <w:sz w:val="17"/>
                <w:szCs w:val="17"/>
                <w:b w:val="1"/>
                <w:bCs w:val="1"/>
                <w:color w:val="FFFFFF"/>
              </w:rPr>
              <w:t>salary earned)</w:t>
            </w:r>
          </w:p>
        </w:tc>
        <w:tc>
          <w:tcPr>
            <w:tcW w:w="0" w:type="dxa"/>
            <w:vAlign w:val="bottom"/>
          </w:tcPr>
          <w:p>
            <w:pPr>
              <w:spacing w:after="0"/>
              <w:rPr>
                <w:sz w:val="1"/>
                <w:szCs w:val="1"/>
                <w:color w:val="auto"/>
              </w:rPr>
            </w:pPr>
          </w:p>
        </w:tc>
      </w:tr>
      <w:tr>
        <w:trPr>
          <w:trHeight w:val="92"/>
        </w:trPr>
        <w:tc>
          <w:tcPr>
            <w:tcW w:w="3680" w:type="dxa"/>
            <w:vAlign w:val="bottom"/>
            <w:tcBorders>
              <w:left w:val="single" w:sz="8" w:color="auto"/>
            </w:tcBorders>
            <w:shd w:val="clear" w:color="auto" w:fill="050F70"/>
          </w:tcPr>
          <w:p>
            <w:pPr>
              <w:spacing w:after="0"/>
              <w:rPr>
                <w:sz w:val="7"/>
                <w:szCs w:val="7"/>
                <w:color w:val="auto"/>
              </w:rPr>
            </w:pPr>
          </w:p>
        </w:tc>
        <w:tc>
          <w:tcPr>
            <w:tcW w:w="4920" w:type="dxa"/>
            <w:vAlign w:val="bottom"/>
            <w:vMerge w:val="continue"/>
            <w:shd w:val="clear" w:color="auto" w:fill="050F70"/>
          </w:tcPr>
          <w:p>
            <w:pPr>
              <w:spacing w:after="0"/>
              <w:rPr>
                <w:sz w:val="7"/>
                <w:szCs w:val="7"/>
                <w:color w:val="auto"/>
              </w:rPr>
            </w:pPr>
          </w:p>
        </w:tc>
        <w:tc>
          <w:tcPr>
            <w:tcW w:w="2660" w:type="dxa"/>
            <w:vAlign w:val="bottom"/>
            <w:tcBorders>
              <w:right w:val="single" w:sz="8" w:color="auto"/>
            </w:tcBorders>
            <w:vMerge w:val="continue"/>
            <w:shd w:val="clear" w:color="auto" w:fill="050F70"/>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Neal A. Lux</w:t>
            </w:r>
          </w:p>
        </w:tc>
        <w:tc>
          <w:tcPr>
            <w:tcW w:w="4920" w:type="dxa"/>
            <w:vAlign w:val="bottom"/>
            <w:shd w:val="clear" w:color="auto" w:fill="CCEEFF"/>
          </w:tcPr>
          <w:p>
            <w:pPr>
              <w:jc w:val="center"/>
              <w:ind w:left="2093"/>
              <w:spacing w:after="0"/>
              <w:rPr>
                <w:sz w:val="20"/>
                <w:szCs w:val="20"/>
                <w:color w:val="auto"/>
              </w:rPr>
            </w:pPr>
            <w:r>
              <w:rPr>
                <w:rFonts w:ascii="Times New Roman" w:cs="Times New Roman" w:eastAsia="Times New Roman" w:hAnsi="Times New Roman"/>
                <w:sz w:val="17"/>
                <w:szCs w:val="17"/>
                <w:color w:val="auto"/>
              </w:rPr>
              <w:t>100%</w:t>
            </w:r>
          </w:p>
        </w:tc>
        <w:tc>
          <w:tcPr>
            <w:tcW w:w="2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 Lyle Williams</w:t>
            </w:r>
          </w:p>
        </w:tc>
        <w:tc>
          <w:tcPr>
            <w:tcW w:w="4920" w:type="dxa"/>
            <w:vAlign w:val="bottom"/>
          </w:tcPr>
          <w:p>
            <w:pPr>
              <w:jc w:val="center"/>
              <w:ind w:left="2093"/>
              <w:spacing w:after="0"/>
              <w:rPr>
                <w:sz w:val="20"/>
                <w:szCs w:val="20"/>
                <w:color w:val="auto"/>
              </w:rPr>
            </w:pPr>
            <w:r>
              <w:rPr>
                <w:rFonts w:ascii="Times New Roman" w:cs="Times New Roman" w:eastAsia="Times New Roman" w:hAnsi="Times New Roman"/>
                <w:sz w:val="17"/>
                <w:szCs w:val="17"/>
                <w:color w:val="auto"/>
                <w:w w:val="96"/>
              </w:rPr>
              <w:t>85%</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C. Ivascu</w:t>
            </w:r>
          </w:p>
        </w:tc>
        <w:tc>
          <w:tcPr>
            <w:tcW w:w="4920" w:type="dxa"/>
            <w:vAlign w:val="bottom"/>
            <w:tcBorders>
              <w:bottom w:val="single" w:sz="8" w:color="auto"/>
            </w:tcBorders>
            <w:shd w:val="clear" w:color="auto" w:fill="CCEEFF"/>
          </w:tcPr>
          <w:p>
            <w:pPr>
              <w:jc w:val="center"/>
              <w:ind w:left="2093"/>
              <w:spacing w:after="0"/>
              <w:rPr>
                <w:sz w:val="20"/>
                <w:szCs w:val="20"/>
                <w:color w:val="auto"/>
              </w:rPr>
            </w:pPr>
            <w:r>
              <w:rPr>
                <w:rFonts w:ascii="Times New Roman" w:cs="Times New Roman" w:eastAsia="Times New Roman" w:hAnsi="Times New Roman"/>
                <w:sz w:val="17"/>
                <w:szCs w:val="17"/>
                <w:color w:val="auto"/>
                <w:w w:val="96"/>
              </w:rPr>
              <w:t>80%</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60"/>
          </w:cols>
          <w:pgMar w:left="320" w:top="1440" w:right="319" w:bottom="1440" w:gutter="0" w:footer="0" w:header="0"/>
        </w:sectPr>
      </w:pPr>
    </w:p>
    <w:bookmarkStart w:id="42" w:name="page43"/>
    <w:bookmarkEnd w:id="42"/>
    <w:p>
      <w:pPr>
        <w:jc w:val="both"/>
        <w:ind w:right="20" w:firstLine="476"/>
        <w:spacing w:after="0" w:line="269" w:lineRule="auto"/>
        <w:rPr>
          <w:sz w:val="20"/>
          <w:szCs w:val="20"/>
          <w:color w:val="auto"/>
        </w:rPr>
      </w:pPr>
      <w:r>
        <w:rPr>
          <w:rFonts w:ascii="Times New Roman" w:cs="Times New Roman" w:eastAsia="Times New Roman" w:hAnsi="Times New Roman"/>
          <w:sz w:val="17"/>
          <w:szCs w:val="17"/>
          <w:color w:val="auto"/>
        </w:rPr>
        <w:t>The 2023 EMIP has a built-in threshold such that no bonus is paid if we achieve anything less than the entry level of the established performance goals for the year. When actual performance is greater than the target performance level, referred to as “over-achievement,” the participant is eligible to receive up to the maximum bonus in the table above (or 200% of the target bonus). The following graph summarizes the payout levels for the various achievement levels of the established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52070</wp:posOffset>
            </wp:positionV>
            <wp:extent cx="4028440" cy="2536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2844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EMIP Performance Metrics</w:t>
      </w:r>
    </w:p>
    <w:p>
      <w:pPr>
        <w:spacing w:after="0" w:line="109" w:lineRule="exact"/>
        <w:rPr>
          <w:sz w:val="20"/>
          <w:szCs w:val="20"/>
          <w:color w:val="auto"/>
        </w:rPr>
      </w:pPr>
    </w:p>
    <w:p>
      <w:pPr>
        <w:jc w:val="both"/>
        <w:ind w:right="20" w:firstLine="627"/>
        <w:spacing w:after="0" w:line="247" w:lineRule="auto"/>
        <w:rPr>
          <w:sz w:val="20"/>
          <w:szCs w:val="20"/>
          <w:color w:val="auto"/>
        </w:rPr>
      </w:pPr>
      <w:r>
        <w:rPr>
          <w:rFonts w:ascii="Times New Roman" w:cs="Times New Roman" w:eastAsia="Times New Roman" w:hAnsi="Times New Roman"/>
          <w:sz w:val="17"/>
          <w:szCs w:val="17"/>
          <w:color w:val="auto"/>
        </w:rPr>
        <w:t>Performance for the 2023 EMIP was measured in terms of EBITDA, safety, free cash flow and strategic objectives. These metrics were chosen because the Compensation and Human Capital Committee, and board of directors in the case of Mr. Lux, concluded that using EBITDA, free cash flow and strategic objectives as measures align the interests of the executives with those of our stockholders. Safety, one of our Core Values, continues to be a measure given its importance to our employees, customers and to our reputation. The weightings for the four 2023 EMIP metrics were as follows:</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20" w:type="dxa"/>
            <w:vAlign w:val="bottom"/>
            <w:tcBorders>
              <w:top w:val="single" w:sz="8" w:color="auto"/>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Performance Measure</w:t>
            </w:r>
          </w:p>
        </w:tc>
        <w:tc>
          <w:tcPr>
            <w:tcW w:w="5640" w:type="dxa"/>
            <w:vAlign w:val="bottom"/>
            <w:tcBorders>
              <w:top w:val="single" w:sz="8" w:color="auto"/>
              <w:right w:val="single" w:sz="8" w:color="auto"/>
            </w:tcBorders>
            <w:shd w:val="clear" w:color="auto" w:fill="050F70"/>
          </w:tcPr>
          <w:p>
            <w:pPr>
              <w:ind w:left="3940"/>
              <w:spacing w:after="0"/>
              <w:rPr>
                <w:sz w:val="20"/>
                <w:szCs w:val="20"/>
                <w:color w:val="auto"/>
              </w:rPr>
            </w:pPr>
            <w:r>
              <w:rPr>
                <w:rFonts w:ascii="Times New Roman" w:cs="Times New Roman" w:eastAsia="Times New Roman" w:hAnsi="Times New Roman"/>
                <w:sz w:val="17"/>
                <w:szCs w:val="17"/>
                <w:b w:val="1"/>
                <w:bCs w:val="1"/>
                <w:color w:val="FFFFFF"/>
              </w:rPr>
              <w:t>Weighting</w:t>
            </w:r>
          </w:p>
        </w:tc>
      </w:tr>
      <w:tr>
        <w:trPr>
          <w:trHeight w:val="227"/>
        </w:trPr>
        <w:tc>
          <w:tcPr>
            <w:tcW w:w="56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EBITDA</w:t>
            </w:r>
          </w:p>
        </w:tc>
        <w:tc>
          <w:tcPr>
            <w:tcW w:w="5640" w:type="dxa"/>
            <w:vAlign w:val="bottom"/>
            <w:tcBorders>
              <w:right w:val="single" w:sz="8" w:color="auto"/>
            </w:tcBorders>
            <w:shd w:val="clear" w:color="auto" w:fill="CCEEFF"/>
          </w:tcPr>
          <w:p>
            <w:pPr>
              <w:jc w:val="center"/>
              <w:ind w:left="2913"/>
              <w:spacing w:after="0"/>
              <w:rPr>
                <w:sz w:val="20"/>
                <w:szCs w:val="20"/>
                <w:color w:val="auto"/>
              </w:rPr>
            </w:pPr>
            <w:r>
              <w:rPr>
                <w:rFonts w:ascii="Times New Roman" w:cs="Times New Roman" w:eastAsia="Times New Roman" w:hAnsi="Times New Roman"/>
                <w:sz w:val="17"/>
                <w:szCs w:val="17"/>
                <w:color w:val="auto"/>
              </w:rPr>
              <w:t>50%</w:t>
            </w:r>
          </w:p>
        </w:tc>
      </w:tr>
      <w:tr>
        <w:trPr>
          <w:trHeight w:val="243"/>
        </w:trPr>
        <w:tc>
          <w:tcPr>
            <w:tcW w:w="5620" w:type="dxa"/>
            <w:vAlign w:val="bottom"/>
            <w:tcBorders>
              <w:left w:val="single" w:sz="8" w:color="auto"/>
            </w:tcBorders>
            <w:shd w:val="clear" w:color="auto" w:fill="CCEEFF"/>
          </w:tcPr>
          <w:p>
            <w:pPr>
              <w:spacing w:after="0"/>
              <w:rPr>
                <w:sz w:val="21"/>
                <w:szCs w:val="21"/>
                <w:color w:val="auto"/>
              </w:rPr>
            </w:pPr>
          </w:p>
        </w:tc>
        <w:tc>
          <w:tcPr>
            <w:tcW w:w="5640" w:type="dxa"/>
            <w:vAlign w:val="bottom"/>
            <w:tcBorders>
              <w:right w:val="single" w:sz="8" w:color="auto"/>
            </w:tcBorders>
            <w:shd w:val="clear" w:color="auto" w:fill="CCEEFF"/>
          </w:tcPr>
          <w:p>
            <w:pPr>
              <w:spacing w:after="0"/>
              <w:rPr>
                <w:sz w:val="21"/>
                <w:szCs w:val="21"/>
                <w:color w:val="auto"/>
              </w:rPr>
            </w:pPr>
          </w:p>
        </w:tc>
      </w:tr>
      <w:tr>
        <w:trPr>
          <w:trHeight w:val="227"/>
        </w:trPr>
        <w:tc>
          <w:tcPr>
            <w:tcW w:w="5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5640" w:type="dxa"/>
            <w:vAlign w:val="bottom"/>
            <w:tcBorders>
              <w:right w:val="single" w:sz="8" w:color="auto"/>
            </w:tcBorders>
          </w:tcPr>
          <w:p>
            <w:pPr>
              <w:jc w:val="center"/>
              <w:ind w:left="2913"/>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5620" w:type="dxa"/>
            <w:vAlign w:val="bottom"/>
            <w:tcBorders>
              <w:left w:val="single" w:sz="8" w:color="auto"/>
            </w:tcBorders>
          </w:tcPr>
          <w:p>
            <w:pPr>
              <w:spacing w:after="0"/>
              <w:rPr>
                <w:sz w:val="21"/>
                <w:szCs w:val="21"/>
                <w:color w:val="auto"/>
              </w:rPr>
            </w:pPr>
          </w:p>
        </w:tc>
        <w:tc>
          <w:tcPr>
            <w:tcW w:w="5640" w:type="dxa"/>
            <w:vAlign w:val="bottom"/>
            <w:tcBorders>
              <w:right w:val="single" w:sz="8" w:color="auto"/>
            </w:tcBorders>
          </w:tcPr>
          <w:p>
            <w:pPr>
              <w:spacing w:after="0"/>
              <w:rPr>
                <w:sz w:val="21"/>
                <w:szCs w:val="21"/>
                <w:color w:val="auto"/>
              </w:rPr>
            </w:pPr>
          </w:p>
        </w:tc>
      </w:tr>
      <w:tr>
        <w:trPr>
          <w:trHeight w:val="235"/>
        </w:trPr>
        <w:tc>
          <w:tcPr>
            <w:tcW w:w="56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Safety</w:t>
            </w:r>
          </w:p>
        </w:tc>
        <w:tc>
          <w:tcPr>
            <w:tcW w:w="5640" w:type="dxa"/>
            <w:vAlign w:val="bottom"/>
            <w:tcBorders>
              <w:right w:val="single" w:sz="8" w:color="auto"/>
            </w:tcBorders>
            <w:shd w:val="clear" w:color="auto" w:fill="CCEEFF"/>
          </w:tcPr>
          <w:p>
            <w:pPr>
              <w:spacing w:after="0"/>
              <w:rPr>
                <w:sz w:val="20"/>
                <w:szCs w:val="20"/>
                <w:color w:val="auto"/>
              </w:rPr>
            </w:pPr>
          </w:p>
        </w:tc>
      </w:tr>
      <w:tr>
        <w:trPr>
          <w:trHeight w:val="79"/>
        </w:trPr>
        <w:tc>
          <w:tcPr>
            <w:tcW w:w="5620" w:type="dxa"/>
            <w:vAlign w:val="bottom"/>
            <w:tcBorders>
              <w:left w:val="single" w:sz="8" w:color="auto"/>
            </w:tcBorders>
            <w:shd w:val="clear" w:color="auto" w:fill="CCEEFF"/>
          </w:tcPr>
          <w:p>
            <w:pPr>
              <w:spacing w:after="0"/>
              <w:rPr>
                <w:sz w:val="6"/>
                <w:szCs w:val="6"/>
                <w:color w:val="auto"/>
              </w:rPr>
            </w:pPr>
          </w:p>
        </w:tc>
        <w:tc>
          <w:tcPr>
            <w:tcW w:w="5640" w:type="dxa"/>
            <w:vAlign w:val="bottom"/>
            <w:tcBorders>
              <w:right w:val="single" w:sz="8" w:color="auto"/>
            </w:tcBorders>
            <w:shd w:val="clear" w:color="auto" w:fill="CCEEFF"/>
          </w:tcPr>
          <w:p>
            <w:pPr>
              <w:spacing w:after="0"/>
              <w:rPr>
                <w:sz w:val="6"/>
                <w:szCs w:val="6"/>
                <w:color w:val="auto"/>
              </w:rPr>
            </w:pPr>
          </w:p>
        </w:tc>
      </w:tr>
      <w:tr>
        <w:trPr>
          <w:trHeight w:val="235"/>
        </w:trPr>
        <w:tc>
          <w:tcPr>
            <w:tcW w:w="56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TRIR</w:t>
            </w:r>
          </w:p>
        </w:tc>
        <w:tc>
          <w:tcPr>
            <w:tcW w:w="5640" w:type="dxa"/>
            <w:vAlign w:val="bottom"/>
            <w:tcBorders>
              <w:right w:val="single" w:sz="8" w:color="auto"/>
            </w:tcBorders>
          </w:tcPr>
          <w:p>
            <w:pPr>
              <w:jc w:val="center"/>
              <w:ind w:left="2913"/>
              <w:spacing w:after="0"/>
              <w:rPr>
                <w:sz w:val="20"/>
                <w:szCs w:val="20"/>
                <w:color w:val="auto"/>
              </w:rPr>
            </w:pPr>
            <w:r>
              <w:rPr>
                <w:rFonts w:ascii="Times New Roman" w:cs="Times New Roman" w:eastAsia="Times New Roman" w:hAnsi="Times New Roman"/>
                <w:sz w:val="17"/>
                <w:szCs w:val="17"/>
                <w:color w:val="auto"/>
              </w:rPr>
              <w:t>5%</w:t>
            </w:r>
          </w:p>
        </w:tc>
      </w:tr>
      <w:tr>
        <w:trPr>
          <w:trHeight w:val="79"/>
        </w:trPr>
        <w:tc>
          <w:tcPr>
            <w:tcW w:w="5620" w:type="dxa"/>
            <w:vAlign w:val="bottom"/>
            <w:tcBorders>
              <w:left w:val="single" w:sz="8" w:color="auto"/>
            </w:tcBorders>
          </w:tcPr>
          <w:p>
            <w:pPr>
              <w:spacing w:after="0"/>
              <w:rPr>
                <w:sz w:val="6"/>
                <w:szCs w:val="6"/>
                <w:color w:val="auto"/>
              </w:rPr>
            </w:pPr>
          </w:p>
        </w:tc>
        <w:tc>
          <w:tcPr>
            <w:tcW w:w="5640" w:type="dxa"/>
            <w:vAlign w:val="bottom"/>
            <w:tcBorders>
              <w:right w:val="single" w:sz="8" w:color="auto"/>
            </w:tcBorders>
          </w:tcPr>
          <w:p>
            <w:pPr>
              <w:spacing w:after="0"/>
              <w:rPr>
                <w:sz w:val="6"/>
                <w:szCs w:val="6"/>
                <w:color w:val="auto"/>
              </w:rPr>
            </w:pPr>
          </w:p>
        </w:tc>
      </w:tr>
      <w:tr>
        <w:trPr>
          <w:trHeight w:val="235"/>
        </w:trPr>
        <w:tc>
          <w:tcPr>
            <w:tcW w:w="5620" w:type="dxa"/>
            <w:vAlign w:val="bottom"/>
            <w:tcBorders>
              <w:lef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Perfect Days</w:t>
            </w:r>
          </w:p>
        </w:tc>
        <w:tc>
          <w:tcPr>
            <w:tcW w:w="5640" w:type="dxa"/>
            <w:vAlign w:val="bottom"/>
            <w:tcBorders>
              <w:right w:val="single" w:sz="8" w:color="auto"/>
            </w:tcBorders>
            <w:shd w:val="clear" w:color="auto" w:fill="CCEEFF"/>
          </w:tcPr>
          <w:p>
            <w:pPr>
              <w:jc w:val="center"/>
              <w:ind w:left="2913"/>
              <w:spacing w:after="0"/>
              <w:rPr>
                <w:sz w:val="20"/>
                <w:szCs w:val="20"/>
                <w:color w:val="auto"/>
              </w:rPr>
            </w:pPr>
            <w:r>
              <w:rPr>
                <w:rFonts w:ascii="Times New Roman" w:cs="Times New Roman" w:eastAsia="Times New Roman" w:hAnsi="Times New Roman"/>
                <w:sz w:val="17"/>
                <w:szCs w:val="17"/>
                <w:color w:val="auto"/>
              </w:rPr>
              <w:t>5%</w:t>
            </w:r>
          </w:p>
        </w:tc>
      </w:tr>
      <w:tr>
        <w:trPr>
          <w:trHeight w:val="79"/>
        </w:trPr>
        <w:tc>
          <w:tcPr>
            <w:tcW w:w="5620" w:type="dxa"/>
            <w:vAlign w:val="bottom"/>
            <w:tcBorders>
              <w:left w:val="single" w:sz="8" w:color="auto"/>
            </w:tcBorders>
            <w:shd w:val="clear" w:color="auto" w:fill="CCEEFF"/>
          </w:tcPr>
          <w:p>
            <w:pPr>
              <w:spacing w:after="0"/>
              <w:rPr>
                <w:sz w:val="6"/>
                <w:szCs w:val="6"/>
                <w:color w:val="auto"/>
              </w:rPr>
            </w:pPr>
          </w:p>
        </w:tc>
        <w:tc>
          <w:tcPr>
            <w:tcW w:w="5640" w:type="dxa"/>
            <w:vAlign w:val="bottom"/>
            <w:tcBorders>
              <w:right w:val="single" w:sz="8" w:color="auto"/>
            </w:tcBorders>
            <w:shd w:val="clear" w:color="auto" w:fill="CCEEFF"/>
          </w:tcPr>
          <w:p>
            <w:pPr>
              <w:spacing w:after="0"/>
              <w:rPr>
                <w:sz w:val="6"/>
                <w:szCs w:val="6"/>
                <w:color w:val="auto"/>
              </w:rPr>
            </w:pPr>
          </w:p>
        </w:tc>
      </w:tr>
      <w:tr>
        <w:trPr>
          <w:trHeight w:val="235"/>
        </w:trPr>
        <w:tc>
          <w:tcPr>
            <w:tcW w:w="5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Strategic Objectives</w:t>
            </w:r>
          </w:p>
        </w:tc>
        <w:tc>
          <w:tcPr>
            <w:tcW w:w="5640" w:type="dxa"/>
            <w:vAlign w:val="bottom"/>
            <w:tcBorders>
              <w:right w:val="single" w:sz="8" w:color="auto"/>
            </w:tcBorders>
          </w:tcPr>
          <w:p>
            <w:pPr>
              <w:jc w:val="center"/>
              <w:ind w:left="2913"/>
              <w:spacing w:after="0"/>
              <w:rPr>
                <w:sz w:val="20"/>
                <w:szCs w:val="20"/>
                <w:color w:val="auto"/>
              </w:rPr>
            </w:pPr>
            <w:r>
              <w:rPr>
                <w:rFonts w:ascii="Times New Roman" w:cs="Times New Roman" w:eastAsia="Times New Roman" w:hAnsi="Times New Roman"/>
                <w:sz w:val="17"/>
                <w:szCs w:val="17"/>
                <w:color w:val="auto"/>
              </w:rPr>
              <w:t>30%</w:t>
            </w:r>
          </w:p>
        </w:tc>
      </w:tr>
      <w:tr>
        <w:trPr>
          <w:trHeight w:val="26"/>
        </w:trPr>
        <w:tc>
          <w:tcPr>
            <w:tcW w:w="5620" w:type="dxa"/>
            <w:vAlign w:val="bottom"/>
            <w:tcBorders>
              <w:left w:val="single" w:sz="8" w:color="auto"/>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0"/>
          <w:szCs w:val="20"/>
          <w:color w:val="auto"/>
        </w:rPr>
      </w:pPr>
    </w:p>
    <w:p>
      <w:pPr>
        <w:jc w:val="both"/>
        <w:ind w:right="20" w:firstLine="627"/>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17"/>
          <w:szCs w:val="17"/>
          <w:color w:val="auto"/>
        </w:rPr>
        <w:t>The EBITDA measure was derived from the 2023 financial plan set by our board of directors. The calculation of the EBITDA measure takes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account adjustments for non-operating items in a manner consistent with FET’s earnings releases.</w:t>
      </w:r>
    </w:p>
    <w:p>
      <w:pPr>
        <w:spacing w:after="0" w:line="38" w:lineRule="exact"/>
        <w:rPr>
          <w:sz w:val="20"/>
          <w:szCs w:val="20"/>
          <w:color w:val="auto"/>
        </w:rPr>
      </w:pPr>
    </w:p>
    <w:p>
      <w:pPr>
        <w:jc w:val="both"/>
        <w:ind w:right="20" w:firstLine="627"/>
        <w:spacing w:after="0" w:line="281" w:lineRule="auto"/>
        <w:rPr>
          <w:sz w:val="20"/>
          <w:szCs w:val="20"/>
          <w:color w:val="auto"/>
        </w:rPr>
      </w:pPr>
      <w:r>
        <w:rPr>
          <w:rFonts w:ascii="Times New Roman" w:cs="Times New Roman" w:eastAsia="Times New Roman" w:hAnsi="Times New Roman"/>
          <w:sz w:val="17"/>
          <w:szCs w:val="17"/>
          <w:b w:val="1"/>
          <w:bCs w:val="1"/>
          <w:color w:val="auto"/>
        </w:rPr>
        <w:t>Free Cash Flow</w:t>
      </w:r>
      <w:r>
        <w:rPr>
          <w:rFonts w:ascii="Times New Roman" w:cs="Times New Roman" w:eastAsia="Times New Roman" w:hAnsi="Times New Roman"/>
          <w:sz w:val="17"/>
          <w:szCs w:val="17"/>
          <w:color w:val="auto"/>
        </w:rPr>
        <w:t>. The Free Cash Flow measure was derived from the 2023 financial plan set by our board of directors and is calculated as cash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less capital expenditures, plus proceeds from sale of property and equipment.</w:t>
      </w:r>
    </w:p>
    <w:p>
      <w:pPr>
        <w:spacing w:after="0" w:line="38" w:lineRule="exact"/>
        <w:rPr>
          <w:sz w:val="20"/>
          <w:szCs w:val="20"/>
          <w:color w:val="auto"/>
        </w:rPr>
      </w:pPr>
    </w:p>
    <w:p>
      <w:pPr>
        <w:jc w:val="both"/>
        <w:ind w:right="20" w:firstLine="627"/>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Safety Performance. </w:t>
      </w:r>
      <w:r>
        <w:rPr>
          <w:rFonts w:ascii="Times New Roman" w:cs="Times New Roman" w:eastAsia="Times New Roman" w:hAnsi="Times New Roman"/>
          <w:sz w:val="17"/>
          <w:szCs w:val="17"/>
          <w:color w:val="auto"/>
        </w:rPr>
        <w:t>The safety measure was based one-half on the Company’s consolidated TRIR, which is a measure of the recordable workplace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injuries that occur during the year, calculated by multiplying the number of recordable injuries in a calendar year by 200,000 (100 employees working 2,000 hours per year), and dividing this value by the total man-hours actually worked in the year. The target was established with reference to past safety performance and the average TRIR for the oil and gas manufacturing industry. Threshold and over-achievement TRIR levels were set to create stretch</w:t>
      </w:r>
    </w:p>
    <w:p>
      <w:pPr>
        <w:sectPr>
          <w:pgSz w:w="11900" w:h="16838" w:orient="portrait"/>
          <w:cols w:equalWidth="0" w:num="1">
            <w:col w:w="11260"/>
          </w:cols>
          <w:pgMar w:left="320" w:top="137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60"/>
          </w:cols>
          <w:pgMar w:left="320" w:top="1374" w:right="319" w:bottom="1440" w:gutter="0" w:footer="0" w:header="0"/>
          <w:type w:val="continuous"/>
        </w:sectPr>
      </w:pPr>
    </w:p>
    <w:bookmarkStart w:id="43" w:name="page44"/>
    <w:bookmarkEnd w:id="43"/>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goals for management. For purposes of calculating over-achievement, TRIR performance must be less than the approved target level.</w:t>
      </w:r>
    </w:p>
    <w:p>
      <w:pPr>
        <w:spacing w:after="0" w:line="235" w:lineRule="exact"/>
        <w:rPr>
          <w:sz w:val="20"/>
          <w:szCs w:val="20"/>
          <w:color w:val="auto"/>
        </w:rPr>
      </w:pPr>
    </w:p>
    <w:p>
      <w:pPr>
        <w:jc w:val="both"/>
        <w:ind w:right="20" w:firstLine="470"/>
        <w:spacing w:after="0" w:line="259" w:lineRule="auto"/>
        <w:rPr>
          <w:sz w:val="20"/>
          <w:szCs w:val="20"/>
          <w:color w:val="auto"/>
        </w:rPr>
      </w:pPr>
      <w:r>
        <w:rPr>
          <w:rFonts w:ascii="Times New Roman" w:cs="Times New Roman" w:eastAsia="Times New Roman" w:hAnsi="Times New Roman"/>
          <w:sz w:val="17"/>
          <w:szCs w:val="17"/>
          <w:color w:val="auto"/>
        </w:rPr>
        <w:t>The safety measure was also based one-half on the percentage of “perfect safety days.” A “perfect safety day” is defined as one in which there are no recordable or first aid safety incidents, motor vehicle accidents, environmental incidents or property damage. The safety measures were designed to incentivize improvements in TRIR for the Company as a whole and for each product line.</w:t>
      </w:r>
    </w:p>
    <w:p>
      <w:pPr>
        <w:spacing w:after="0" w:line="174" w:lineRule="exact"/>
        <w:rPr>
          <w:sz w:val="20"/>
          <w:szCs w:val="20"/>
          <w:color w:val="auto"/>
        </w:rPr>
      </w:pPr>
    </w:p>
    <w:p>
      <w:pPr>
        <w:jc w:val="both"/>
        <w:ind w:right="20" w:firstLine="627"/>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Strategic Objectives. </w:t>
      </w:r>
      <w:r>
        <w:rPr>
          <w:rFonts w:ascii="Times New Roman" w:cs="Times New Roman" w:eastAsia="Times New Roman" w:hAnsi="Times New Roman"/>
          <w:sz w:val="17"/>
          <w:szCs w:val="17"/>
          <w:color w:val="auto"/>
        </w:rPr>
        <w:t>The Strategic Objectives measure is intended to encourage an increased focus on key aspects of our business strategy.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 is subject to the Compensation and Human Capital Committee’s, or the board of directors’, in the case of Mr. Lux, evaluation of performance and was based on the Company’s overall performance in respect of each measure. The strategic objectives established by the Compensation and Human Capital Committee and the board of directors, in respect of Mr. Lux, are set forth below along with the Compensation and Human Capital Committee or the board of directors’ assessment of each.</w:t>
      </w:r>
    </w:p>
    <w:p>
      <w:pPr>
        <w:spacing w:after="0" w:line="394" w:lineRule="exact"/>
        <w:rPr>
          <w:sz w:val="20"/>
          <w:szCs w:val="20"/>
          <w:color w:val="auto"/>
        </w:rPr>
      </w:pPr>
    </w:p>
    <w:p>
      <w:pPr>
        <w:ind w:left="620" w:hanging="302"/>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Meaningfully increase EBITDA margins as compared to oilfield services market;</w:t>
      </w:r>
    </w:p>
    <w:p>
      <w:pPr>
        <w:spacing w:after="0" w:line="14" w:lineRule="exact"/>
        <w:rPr>
          <w:rFonts w:ascii="Arial" w:cs="Arial" w:eastAsia="Arial" w:hAnsi="Arial"/>
          <w:sz w:val="21"/>
          <w:szCs w:val="21"/>
          <w:color w:val="auto"/>
        </w:rPr>
      </w:pPr>
    </w:p>
    <w:p>
      <w:pPr>
        <w:ind w:left="620" w:hanging="302"/>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Reduce days-sales-outstanding and increase activity inventory turns in line with market conditions;</w:t>
      </w:r>
    </w:p>
    <w:p>
      <w:pPr>
        <w:spacing w:after="0" w:line="2" w:lineRule="exact"/>
        <w:rPr>
          <w:rFonts w:ascii="Arial" w:cs="Arial" w:eastAsia="Arial" w:hAnsi="Arial"/>
          <w:sz w:val="21"/>
          <w:szCs w:val="21"/>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Utilize </w:t>
      </w:r>
      <w:r>
        <w:rPr>
          <w:rFonts w:ascii="Times New Roman" w:cs="Times New Roman" w:eastAsia="Times New Roman" w:hAnsi="Times New Roman"/>
          <w:sz w:val="17"/>
          <w:szCs w:val="17"/>
          <w:i w:val="1"/>
          <w:iCs w:val="1"/>
          <w:color w:val="auto"/>
        </w:rPr>
        <w:t>Winning Moves</w:t>
      </w:r>
      <w:r>
        <w:rPr>
          <w:rFonts w:ascii="Times New Roman" w:cs="Times New Roman" w:eastAsia="Times New Roman" w:hAnsi="Times New Roman"/>
          <w:sz w:val="17"/>
          <w:szCs w:val="17"/>
          <w:color w:val="auto"/>
        </w:rPr>
        <w:t xml:space="preserve"> to position the Company for future profits;</w:t>
      </w:r>
    </w:p>
    <w:p>
      <w:pPr>
        <w:spacing w:after="0" w:line="17"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Develop new products and solutions to increase the Company’s sustainable competitive advantage in target markets;</w:t>
      </w:r>
    </w:p>
    <w:p>
      <w:pPr>
        <w:spacing w:after="0" w:line="14" w:lineRule="exact"/>
        <w:rPr>
          <w:rFonts w:ascii="Arial" w:cs="Arial" w:eastAsia="Arial" w:hAnsi="Arial"/>
          <w:sz w:val="21"/>
          <w:szCs w:val="21"/>
          <w:color w:val="auto"/>
        </w:rPr>
      </w:pPr>
    </w:p>
    <w:p>
      <w:pPr>
        <w:ind w:left="620" w:hanging="302"/>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Produce a sustainability report and develop the foundation for greenhouse gas reporting; and</w:t>
      </w:r>
    </w:p>
    <w:p>
      <w:pPr>
        <w:spacing w:after="0" w:line="14" w:lineRule="exact"/>
        <w:rPr>
          <w:rFonts w:ascii="Arial" w:cs="Arial" w:eastAsia="Arial" w:hAnsi="Arial"/>
          <w:sz w:val="21"/>
          <w:szCs w:val="21"/>
          <w:color w:val="auto"/>
        </w:rPr>
      </w:pPr>
    </w:p>
    <w:p>
      <w:pPr>
        <w:ind w:left="620" w:hanging="302"/>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Formalize business plans for greenhouse gas emission reduction.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EMIP Payout</w:t>
      </w:r>
    </w:p>
    <w:p>
      <w:pPr>
        <w:spacing w:after="0" w:line="122"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The table below sets forth the components and calculation of the total performance payout factor under our 2023 EMIP, including target, actual and weighted performance for the NEOs. Our 2023 EBITDA and safety goals were set at challenging levels relative to actual 2022 performance. Free Cash Flow was not a part of our 2022 EMIP program.</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840" w:type="dxa"/>
            <w:vAlign w:val="bottom"/>
            <w:tcBorders>
              <w:top w:val="single" w:sz="8" w:color="auto"/>
              <w:left w:val="single" w:sz="8" w:color="auto"/>
            </w:tcBorders>
            <w:shd w:val="clear" w:color="auto" w:fill="002060"/>
          </w:tcPr>
          <w:p>
            <w:pPr>
              <w:spacing w:after="0"/>
              <w:rPr>
                <w:sz w:val="16"/>
                <w:szCs w:val="16"/>
                <w:color w:val="auto"/>
              </w:rPr>
            </w:pPr>
          </w:p>
        </w:tc>
        <w:tc>
          <w:tcPr>
            <w:tcW w:w="1800" w:type="dxa"/>
            <w:vAlign w:val="bottom"/>
            <w:tcBorders>
              <w:top w:val="single" w:sz="8" w:color="auto"/>
            </w:tcBorders>
            <w:vMerge w:val="restart"/>
            <w:shd w:val="clear" w:color="auto" w:fill="002060"/>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2023</w:t>
            </w:r>
          </w:p>
        </w:tc>
        <w:tc>
          <w:tcPr>
            <w:tcW w:w="1360" w:type="dxa"/>
            <w:vAlign w:val="bottom"/>
            <w:tcBorders>
              <w:top w:val="single" w:sz="8" w:color="auto"/>
            </w:tcBorders>
            <w:vMerge w:val="restart"/>
            <w:shd w:val="clear" w:color="auto" w:fill="002060"/>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2023</w:t>
            </w:r>
          </w:p>
        </w:tc>
        <w:tc>
          <w:tcPr>
            <w:tcW w:w="1440" w:type="dxa"/>
            <w:vAlign w:val="bottom"/>
            <w:tcBorders>
              <w:top w:val="single" w:sz="8" w:color="auto"/>
            </w:tcBorders>
            <w:vMerge w:val="restart"/>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color w:val="FFFFFF"/>
              </w:rPr>
              <w:t>Percent of</w:t>
            </w:r>
          </w:p>
        </w:tc>
        <w:tc>
          <w:tcPr>
            <w:tcW w:w="1140" w:type="dxa"/>
            <w:vAlign w:val="bottom"/>
            <w:tcBorders>
              <w:top w:val="single" w:sz="8" w:color="auto"/>
            </w:tcBorders>
            <w:vMerge w:val="restart"/>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FFFFFF"/>
              </w:rPr>
              <w:t>Times</w:t>
            </w:r>
          </w:p>
        </w:tc>
        <w:tc>
          <w:tcPr>
            <w:tcW w:w="1680" w:type="dxa"/>
            <w:vAlign w:val="bottom"/>
            <w:tcBorders>
              <w:top w:val="single" w:sz="8" w:color="auto"/>
              <w:right w:val="single" w:sz="8" w:color="auto"/>
            </w:tcBorders>
            <w:shd w:val="clear" w:color="auto" w:fill="002060"/>
          </w:tcPr>
          <w:p>
            <w:pPr>
              <w:jc w:val="center"/>
              <w:spacing w:after="0" w:line="189" w:lineRule="exact"/>
              <w:rPr>
                <w:sz w:val="20"/>
                <w:szCs w:val="20"/>
                <w:color w:val="auto"/>
              </w:rPr>
            </w:pPr>
            <w:r>
              <w:rPr>
                <w:rFonts w:ascii="Times New Roman" w:cs="Times New Roman" w:eastAsia="Times New Roman" w:hAnsi="Times New Roman"/>
                <w:sz w:val="17"/>
                <w:szCs w:val="17"/>
                <w:b w:val="1"/>
                <w:bCs w:val="1"/>
                <w:i w:val="1"/>
                <w:iCs w:val="1"/>
                <w:color w:val="FFFFFF"/>
              </w:rPr>
              <w:t xml:space="preserve">Equals </w:t>
            </w:r>
            <w:r>
              <w:rPr>
                <w:rFonts w:ascii="Times New Roman" w:cs="Times New Roman" w:eastAsia="Times New Roman" w:hAnsi="Times New Roman"/>
                <w:sz w:val="17"/>
                <w:szCs w:val="17"/>
                <w:b w:val="1"/>
                <w:bCs w:val="1"/>
                <w:color w:val="FFFFFF"/>
              </w:rPr>
              <w:t>Weighted</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tcBorders>
            <w:vMerge w:val="restart"/>
            <w:shd w:val="clear" w:color="auto" w:fill="002060"/>
          </w:tcPr>
          <w:p>
            <w:pPr>
              <w:ind w:left="1360"/>
              <w:spacing w:after="0"/>
              <w:rPr>
                <w:sz w:val="20"/>
                <w:szCs w:val="20"/>
                <w:color w:val="auto"/>
              </w:rPr>
            </w:pPr>
            <w:r>
              <w:rPr>
                <w:rFonts w:ascii="Times New Roman" w:cs="Times New Roman" w:eastAsia="Times New Roman" w:hAnsi="Times New Roman"/>
                <w:sz w:val="17"/>
                <w:szCs w:val="17"/>
                <w:b w:val="1"/>
                <w:bCs w:val="1"/>
                <w:color w:val="FFFFFF"/>
              </w:rPr>
              <w:t>Performance Measure</w:t>
            </w:r>
          </w:p>
        </w:tc>
        <w:tc>
          <w:tcPr>
            <w:tcW w:w="1800" w:type="dxa"/>
            <w:vAlign w:val="bottom"/>
            <w:vMerge w:val="continue"/>
            <w:shd w:val="clear" w:color="auto" w:fill="002060"/>
          </w:tcPr>
          <w:p>
            <w:pPr>
              <w:spacing w:after="0"/>
              <w:rPr>
                <w:sz w:val="15"/>
                <w:szCs w:val="15"/>
                <w:color w:val="auto"/>
              </w:rPr>
            </w:pPr>
          </w:p>
        </w:tc>
        <w:tc>
          <w:tcPr>
            <w:tcW w:w="1360" w:type="dxa"/>
            <w:vAlign w:val="bottom"/>
            <w:vMerge w:val="continue"/>
            <w:shd w:val="clear" w:color="auto" w:fill="002060"/>
          </w:tcPr>
          <w:p>
            <w:pPr>
              <w:spacing w:after="0"/>
              <w:rPr>
                <w:sz w:val="15"/>
                <w:szCs w:val="15"/>
                <w:color w:val="auto"/>
              </w:rPr>
            </w:pPr>
          </w:p>
        </w:tc>
        <w:tc>
          <w:tcPr>
            <w:tcW w:w="1440" w:type="dxa"/>
            <w:vAlign w:val="bottom"/>
            <w:vMerge w:val="continue"/>
            <w:shd w:val="clear" w:color="auto" w:fill="002060"/>
          </w:tcPr>
          <w:p>
            <w:pPr>
              <w:spacing w:after="0"/>
              <w:rPr>
                <w:sz w:val="15"/>
                <w:szCs w:val="15"/>
                <w:color w:val="auto"/>
              </w:rPr>
            </w:pPr>
          </w:p>
        </w:tc>
        <w:tc>
          <w:tcPr>
            <w:tcW w:w="1140" w:type="dxa"/>
            <w:vAlign w:val="bottom"/>
            <w:vMerge w:val="continue"/>
            <w:shd w:val="clear" w:color="auto" w:fill="002060"/>
          </w:tcPr>
          <w:p>
            <w:pPr>
              <w:spacing w:after="0"/>
              <w:rPr>
                <w:sz w:val="15"/>
                <w:szCs w:val="15"/>
                <w:color w:val="auto"/>
              </w:rPr>
            </w:pPr>
          </w:p>
        </w:tc>
        <w:tc>
          <w:tcPr>
            <w:tcW w:w="1680" w:type="dxa"/>
            <w:vAlign w:val="bottom"/>
            <w:tcBorders>
              <w:right w:val="single" w:sz="8" w:color="auto"/>
            </w:tcBorders>
            <w:shd w:val="clear" w:color="auto" w:fill="002060"/>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FFFFFF"/>
              </w:rPr>
              <w:t>Percent of Target</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bottom w:val="single" w:sz="8" w:color="auto"/>
            </w:tcBorders>
            <w:vMerge w:val="continue"/>
            <w:shd w:val="clear" w:color="auto" w:fill="002060"/>
          </w:tcPr>
          <w:p>
            <w:pPr>
              <w:spacing w:after="0"/>
              <w:rPr>
                <w:sz w:val="19"/>
                <w:szCs w:val="19"/>
                <w:color w:val="auto"/>
              </w:rPr>
            </w:pPr>
          </w:p>
        </w:tc>
        <w:tc>
          <w:tcPr>
            <w:tcW w:w="1800" w:type="dxa"/>
            <w:vAlign w:val="bottom"/>
            <w:tcBorders>
              <w:bottom w:val="single" w:sz="8" w:color="auto"/>
            </w:tcBorders>
            <w:shd w:val="clear" w:color="auto" w:fill="002060"/>
          </w:tcPr>
          <w:p>
            <w:pPr>
              <w:jc w:val="center"/>
              <w:ind w:left="453"/>
              <w:spacing w:after="0"/>
              <w:rPr>
                <w:sz w:val="20"/>
                <w:szCs w:val="20"/>
                <w:color w:val="auto"/>
              </w:rPr>
            </w:pPr>
            <w:r>
              <w:rPr>
                <w:rFonts w:ascii="Times New Roman" w:cs="Times New Roman" w:eastAsia="Times New Roman" w:hAnsi="Times New Roman"/>
                <w:sz w:val="17"/>
                <w:szCs w:val="17"/>
                <w:b w:val="1"/>
                <w:bCs w:val="1"/>
                <w:color w:val="FFFFFF"/>
              </w:rPr>
              <w:t>Target</w:t>
            </w:r>
          </w:p>
        </w:tc>
        <w:tc>
          <w:tcPr>
            <w:tcW w:w="136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color w:val="FFFFFF"/>
              </w:rPr>
              <w:t>Achievement</w:t>
            </w:r>
          </w:p>
        </w:tc>
        <w:tc>
          <w:tcPr>
            <w:tcW w:w="144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color w:val="FFFFFF"/>
              </w:rPr>
              <w:t>Target Earned</w:t>
            </w:r>
          </w:p>
        </w:tc>
        <w:tc>
          <w:tcPr>
            <w:tcW w:w="114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color w:val="FFFFFF"/>
              </w:rPr>
              <w:t>Weighting</w:t>
            </w:r>
          </w:p>
        </w:tc>
        <w:tc>
          <w:tcPr>
            <w:tcW w:w="1680" w:type="dxa"/>
            <w:vAlign w:val="bottom"/>
            <w:tcBorders>
              <w:bottom w:val="single" w:sz="8" w:color="auto"/>
              <w:right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0" w:type="dxa"/>
            <w:vAlign w:val="bottom"/>
          </w:tcPr>
          <w:p>
            <w:pPr>
              <w:spacing w:after="0"/>
              <w:rPr>
                <w:sz w:val="1"/>
                <w:szCs w:val="1"/>
                <w:color w:val="auto"/>
              </w:rPr>
            </w:pPr>
          </w:p>
        </w:tc>
      </w:tr>
      <w:tr>
        <w:trPr>
          <w:trHeight w:val="215"/>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EBITDA Consolidated ($MM)</w:t>
            </w:r>
          </w:p>
        </w:tc>
        <w:tc>
          <w:tcPr>
            <w:tcW w:w="180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7"/>
                <w:szCs w:val="17"/>
                <w:color w:val="auto"/>
                <w:w w:val="99"/>
              </w:rPr>
              <w:t>$88.0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Free Cash Flow ($MM)</w:t>
            </w:r>
          </w:p>
        </w:tc>
        <w:tc>
          <w:tcPr>
            <w:tcW w:w="1800" w:type="dxa"/>
            <w:vAlign w:val="bottom"/>
          </w:tcPr>
          <w:p>
            <w:pPr>
              <w:jc w:val="center"/>
              <w:ind w:left="453"/>
              <w:spacing w:after="0"/>
              <w:rPr>
                <w:sz w:val="20"/>
                <w:szCs w:val="20"/>
                <w:color w:val="auto"/>
              </w:rPr>
            </w:pPr>
            <w:r>
              <w:rPr>
                <w:rFonts w:ascii="Times New Roman" w:cs="Times New Roman" w:eastAsia="Times New Roman" w:hAnsi="Times New Roman"/>
                <w:sz w:val="17"/>
                <w:szCs w:val="17"/>
                <w:color w:val="auto"/>
                <w:w w:val="99"/>
              </w:rPr>
              <w:t>$32.0</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Safety (TRIR)</w:t>
            </w:r>
          </w:p>
        </w:tc>
        <w:tc>
          <w:tcPr>
            <w:tcW w:w="180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7"/>
                <w:szCs w:val="17"/>
                <w:color w:val="auto"/>
              </w:rPr>
              <w:t>0.99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Safety (Perfect Days)</w:t>
            </w:r>
          </w:p>
        </w:tc>
        <w:tc>
          <w:tcPr>
            <w:tcW w:w="180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75%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Strategic Objectives</w:t>
            </w:r>
          </w:p>
        </w:tc>
        <w:tc>
          <w:tcPr>
            <w:tcW w:w="18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7"/>
                <w:szCs w:val="17"/>
                <w:color w:val="auto"/>
              </w:rPr>
              <w:t>See below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See below</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2"/>
        </w:trPr>
        <w:tc>
          <w:tcPr>
            <w:tcW w:w="3840" w:type="dxa"/>
            <w:vAlign w:val="bottom"/>
            <w:tcBorders>
              <w:left w:val="single" w:sz="8" w:color="auto"/>
              <w:bottom w:val="single" w:sz="8" w:color="auto"/>
            </w:tcBorders>
            <w:shd w:val="clear" w:color="auto" w:fill="EFEFEF"/>
          </w:tcPr>
          <w:p>
            <w:pPr>
              <w:ind w:left="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0" w:type="dxa"/>
            <w:vAlign w:val="bottom"/>
            <w:tcBorders>
              <w:bottom w:val="single" w:sz="8" w:color="auto"/>
            </w:tcBorders>
            <w:shd w:val="clear" w:color="auto" w:fill="EFEFEF"/>
          </w:tcPr>
          <w:p>
            <w:pPr>
              <w:spacing w:after="0"/>
              <w:rPr>
                <w:sz w:val="19"/>
                <w:szCs w:val="19"/>
                <w:color w:val="auto"/>
              </w:rPr>
            </w:pPr>
          </w:p>
        </w:tc>
        <w:tc>
          <w:tcPr>
            <w:tcW w:w="1360" w:type="dxa"/>
            <w:vAlign w:val="bottom"/>
            <w:tcBorders>
              <w:bottom w:val="single" w:sz="8" w:color="auto"/>
            </w:tcBorders>
            <w:shd w:val="clear" w:color="auto" w:fill="EFEFEF"/>
          </w:tcPr>
          <w:p>
            <w:pPr>
              <w:spacing w:after="0"/>
              <w:rPr>
                <w:sz w:val="19"/>
                <w:szCs w:val="19"/>
                <w:color w:val="auto"/>
              </w:rPr>
            </w:pPr>
          </w:p>
        </w:tc>
        <w:tc>
          <w:tcPr>
            <w:tcW w:w="1440" w:type="dxa"/>
            <w:vAlign w:val="bottom"/>
            <w:tcBorders>
              <w:bottom w:val="single" w:sz="8" w:color="auto"/>
            </w:tcBorders>
            <w:shd w:val="clear" w:color="auto" w:fill="EFEFEF"/>
          </w:tcPr>
          <w:p>
            <w:pPr>
              <w:spacing w:after="0"/>
              <w:rPr>
                <w:sz w:val="19"/>
                <w:szCs w:val="19"/>
                <w:color w:val="auto"/>
              </w:rPr>
            </w:pPr>
          </w:p>
        </w:tc>
        <w:tc>
          <w:tcPr>
            <w:tcW w:w="1140" w:type="dxa"/>
            <w:vAlign w:val="bottom"/>
            <w:tcBorders>
              <w:bottom w:val="single" w:sz="8" w:color="auto"/>
            </w:tcBorders>
            <w:shd w:val="clear" w:color="auto" w:fill="EFEFEF"/>
          </w:tcPr>
          <w:p>
            <w:pPr>
              <w:spacing w:after="0"/>
              <w:rPr>
                <w:sz w:val="19"/>
                <w:szCs w:val="19"/>
                <w:color w:val="auto"/>
              </w:rPr>
            </w:pPr>
          </w:p>
        </w:tc>
        <w:tc>
          <w:tcPr>
            <w:tcW w:w="1680" w:type="dxa"/>
            <w:vAlign w:val="bottom"/>
            <w:tcBorders>
              <w:bottom w:val="single" w:sz="8" w:color="auto"/>
              <w:righ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Strategic Objectives Assessment</w:t>
      </w:r>
      <w:r>
        <w:rPr>
          <w:rFonts w:ascii="Times New Roman" w:cs="Times New Roman" w:eastAsia="Times New Roman" w:hAnsi="Times New Roman"/>
          <w:sz w:val="17"/>
          <w:szCs w:val="17"/>
          <w:color w:val="auto"/>
        </w:rPr>
        <w:t>:</w:t>
      </w:r>
    </w:p>
    <w:p>
      <w:pPr>
        <w:spacing w:after="0" w:line="38" w:lineRule="exact"/>
        <w:rPr>
          <w:sz w:val="20"/>
          <w:szCs w:val="20"/>
          <w:color w:val="auto"/>
        </w:rPr>
      </w:pPr>
    </w:p>
    <w:p>
      <w:pPr>
        <w:ind w:left="620" w:hanging="302"/>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Meaningfully increase EBITDA margins as compared to oilfield services market – Between target and over achievement;</w:t>
      </w:r>
    </w:p>
    <w:p>
      <w:pPr>
        <w:spacing w:after="0" w:line="13" w:lineRule="exact"/>
        <w:rPr>
          <w:rFonts w:ascii="Arial" w:cs="Arial" w:eastAsia="Arial" w:hAnsi="Arial"/>
          <w:sz w:val="21"/>
          <w:szCs w:val="21"/>
          <w:color w:val="auto"/>
        </w:rPr>
      </w:pPr>
    </w:p>
    <w:p>
      <w:pPr>
        <w:ind w:left="620" w:hanging="302"/>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Reduce days-sales-outstanding and increase activity inventory turns in line with market conditions – Below target;</w:t>
      </w:r>
    </w:p>
    <w:p>
      <w:pPr>
        <w:spacing w:after="0" w:line="2" w:lineRule="exact"/>
        <w:rPr>
          <w:rFonts w:ascii="Arial" w:cs="Arial" w:eastAsia="Arial" w:hAnsi="Arial"/>
          <w:sz w:val="21"/>
          <w:szCs w:val="21"/>
          <w:color w:val="auto"/>
        </w:rPr>
      </w:pPr>
    </w:p>
    <w:p>
      <w:pPr>
        <w:ind w:left="620" w:hanging="302"/>
        <w:spacing w:after="0"/>
        <w:tabs>
          <w:tab w:leader="none" w:pos="62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Utilize </w:t>
      </w:r>
      <w:r>
        <w:rPr>
          <w:rFonts w:ascii="Times New Roman" w:cs="Times New Roman" w:eastAsia="Times New Roman" w:hAnsi="Times New Roman"/>
          <w:sz w:val="17"/>
          <w:szCs w:val="17"/>
          <w:i w:val="1"/>
          <w:iCs w:val="1"/>
          <w:color w:val="auto"/>
        </w:rPr>
        <w:t>Winning Moves</w:t>
      </w:r>
      <w:r>
        <w:rPr>
          <w:rFonts w:ascii="Times New Roman" w:cs="Times New Roman" w:eastAsia="Times New Roman" w:hAnsi="Times New Roman"/>
          <w:sz w:val="17"/>
          <w:szCs w:val="17"/>
          <w:color w:val="auto"/>
        </w:rPr>
        <w:t xml:space="preserve"> to position the Company for future profits – Between target and over achievement;</w:t>
      </w:r>
    </w:p>
    <w:p>
      <w:pPr>
        <w:spacing w:after="0" w:line="31" w:lineRule="exact"/>
        <w:rPr>
          <w:rFonts w:ascii="Arial" w:cs="Arial" w:eastAsia="Arial" w:hAnsi="Arial"/>
          <w:sz w:val="17"/>
          <w:szCs w:val="17"/>
          <w:color w:val="auto"/>
        </w:rPr>
      </w:pPr>
    </w:p>
    <w:p>
      <w:pPr>
        <w:ind w:left="640" w:right="20" w:hanging="322"/>
        <w:spacing w:after="0" w:line="246" w:lineRule="auto"/>
        <w:tabs>
          <w:tab w:leader="none" w:pos="63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Develop new products and solutions to increase the Company’s sustainable competitive advantage in target markets – Between target and over achievement;</w:t>
      </w:r>
    </w:p>
    <w:p>
      <w:pPr>
        <w:spacing w:after="0" w:line="7" w:lineRule="exact"/>
        <w:rPr>
          <w:rFonts w:ascii="Arial" w:cs="Arial" w:eastAsia="Arial" w:hAnsi="Arial"/>
          <w:sz w:val="21"/>
          <w:szCs w:val="21"/>
          <w:color w:val="auto"/>
        </w:rPr>
      </w:pPr>
    </w:p>
    <w:p>
      <w:pPr>
        <w:ind w:left="620" w:hanging="302"/>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Produce a sustainability report and develop the foundation for greenhouse gas reporting – Target; and</w:t>
      </w:r>
    </w:p>
    <w:p>
      <w:pPr>
        <w:spacing w:after="0" w:line="13" w:lineRule="exact"/>
        <w:rPr>
          <w:rFonts w:ascii="Arial" w:cs="Arial" w:eastAsia="Arial" w:hAnsi="Arial"/>
          <w:sz w:val="21"/>
          <w:szCs w:val="21"/>
          <w:color w:val="auto"/>
        </w:rPr>
      </w:pPr>
    </w:p>
    <w:p>
      <w:pPr>
        <w:ind w:left="620" w:hanging="302"/>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Formalize business plans for greenhouse gas emission reduction – Between target and over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60"/>
          </w:cols>
          <w:pgMar w:left="320" w:top="1440" w:right="319" w:bottom="1440" w:gutter="0" w:footer="0" w:header="0"/>
        </w:sectPr>
      </w:pPr>
    </w:p>
    <w:bookmarkStart w:id="44" w:name="page45"/>
    <w:bookmarkEnd w:id="44"/>
    <w:p>
      <w:pPr>
        <w:spacing w:after="0" w:line="39" w:lineRule="exact"/>
        <w:rPr>
          <w:sz w:val="20"/>
          <w:szCs w:val="20"/>
          <w:color w:val="auto"/>
        </w:rPr>
      </w:pPr>
    </w:p>
    <w:p>
      <w:pPr>
        <w:jc w:val="both"/>
        <w:ind w:right="20" w:firstLine="431"/>
        <w:spacing w:after="0" w:line="275" w:lineRule="auto"/>
        <w:rPr>
          <w:sz w:val="20"/>
          <w:szCs w:val="20"/>
          <w:color w:val="auto"/>
        </w:rPr>
      </w:pPr>
      <w:r>
        <w:rPr>
          <w:rFonts w:ascii="Times New Roman" w:cs="Times New Roman" w:eastAsia="Times New Roman" w:hAnsi="Times New Roman"/>
          <w:sz w:val="17"/>
          <w:szCs w:val="17"/>
          <w:color w:val="auto"/>
        </w:rPr>
        <w:t>In accordance with the terms of the EMIP, EBITDA is adjusted as necessary for acquisitions consummated during the year and other non-recurring items as determined by the Compensation and Human Capital Committee to be appropriate. Awards under our EMIP were determined following an analysis of our 2023 financial results. Final EMIP payouts for each NEO for 2023 were as shown below:</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540" w:type="dxa"/>
            <w:vAlign w:val="bottom"/>
            <w:tcBorders>
              <w:top w:val="single" w:sz="8" w:color="auto"/>
              <w:left w:val="single" w:sz="8" w:color="auto"/>
            </w:tcBorders>
            <w:vMerge w:val="restart"/>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4320" w:type="dxa"/>
            <w:vAlign w:val="bottom"/>
            <w:tcBorders>
              <w:top w:val="single" w:sz="8" w:color="auto"/>
            </w:tcBorders>
            <w:shd w:val="clear" w:color="auto" w:fill="050F70"/>
          </w:tcPr>
          <w:p>
            <w:pPr>
              <w:jc w:val="center"/>
              <w:ind w:left="933"/>
              <w:spacing w:after="0" w:line="183" w:lineRule="exact"/>
              <w:rPr>
                <w:sz w:val="20"/>
                <w:szCs w:val="20"/>
                <w:color w:val="auto"/>
              </w:rPr>
            </w:pPr>
            <w:r>
              <w:rPr>
                <w:rFonts w:ascii="Times New Roman" w:cs="Times New Roman" w:eastAsia="Times New Roman" w:hAnsi="Times New Roman"/>
                <w:sz w:val="17"/>
                <w:szCs w:val="17"/>
                <w:b w:val="1"/>
                <w:bCs w:val="1"/>
                <w:color w:val="FFFFFF"/>
              </w:rPr>
              <w:t>EMIP</w:t>
            </w:r>
          </w:p>
        </w:tc>
        <w:tc>
          <w:tcPr>
            <w:tcW w:w="3400" w:type="dxa"/>
            <w:vAlign w:val="bottom"/>
            <w:tcBorders>
              <w:top w:val="single" w:sz="8" w:color="auto"/>
              <w:right w:val="single" w:sz="8" w:color="auto"/>
            </w:tcBorders>
            <w:shd w:val="clear" w:color="auto" w:fill="050F70"/>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FFFFFF"/>
              </w:rPr>
              <w:t>EMIP</w:t>
            </w:r>
          </w:p>
        </w:tc>
        <w:tc>
          <w:tcPr>
            <w:tcW w:w="0" w:type="dxa"/>
            <w:vAlign w:val="bottom"/>
          </w:tcPr>
          <w:p>
            <w:pPr>
              <w:spacing w:after="0"/>
              <w:rPr>
                <w:sz w:val="1"/>
                <w:szCs w:val="1"/>
                <w:color w:val="auto"/>
              </w:rPr>
            </w:pPr>
          </w:p>
        </w:tc>
      </w:tr>
      <w:tr>
        <w:trPr>
          <w:trHeight w:val="235"/>
        </w:trPr>
        <w:tc>
          <w:tcPr>
            <w:tcW w:w="3540" w:type="dxa"/>
            <w:vAlign w:val="bottom"/>
            <w:tcBorders>
              <w:left w:val="single" w:sz="8" w:color="auto"/>
            </w:tcBorders>
            <w:vMerge w:val="continue"/>
            <w:shd w:val="clear" w:color="auto" w:fill="050F70"/>
          </w:tcPr>
          <w:p>
            <w:pPr>
              <w:spacing w:after="0"/>
              <w:rPr>
                <w:sz w:val="20"/>
                <w:szCs w:val="20"/>
                <w:color w:val="auto"/>
              </w:rPr>
            </w:pPr>
          </w:p>
        </w:tc>
        <w:tc>
          <w:tcPr>
            <w:tcW w:w="4320" w:type="dxa"/>
            <w:vAlign w:val="bottom"/>
            <w:shd w:val="clear" w:color="auto" w:fill="050F70"/>
          </w:tcPr>
          <w:p>
            <w:pPr>
              <w:jc w:val="center"/>
              <w:ind w:left="973"/>
              <w:spacing w:after="0"/>
              <w:rPr>
                <w:sz w:val="20"/>
                <w:szCs w:val="20"/>
                <w:color w:val="auto"/>
              </w:rPr>
            </w:pPr>
            <w:r>
              <w:rPr>
                <w:rFonts w:ascii="Times New Roman" w:cs="Times New Roman" w:eastAsia="Times New Roman" w:hAnsi="Times New Roman"/>
                <w:sz w:val="17"/>
                <w:szCs w:val="17"/>
                <w:b w:val="1"/>
                <w:bCs w:val="1"/>
                <w:color w:val="FFFFFF"/>
              </w:rPr>
              <w:t>Target ($)</w:t>
            </w:r>
          </w:p>
        </w:tc>
        <w:tc>
          <w:tcPr>
            <w:tcW w:w="340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7"/>
                <w:szCs w:val="17"/>
                <w:b w:val="1"/>
                <w:bCs w:val="1"/>
                <w:color w:val="FFFFFF"/>
              </w:rPr>
              <w:t>Payment ($)</w:t>
            </w:r>
          </w:p>
        </w:tc>
        <w:tc>
          <w:tcPr>
            <w:tcW w:w="0" w:type="dxa"/>
            <w:vAlign w:val="bottom"/>
          </w:tcPr>
          <w:p>
            <w:pPr>
              <w:spacing w:after="0"/>
              <w:rPr>
                <w:sz w:val="1"/>
                <w:szCs w:val="1"/>
                <w:color w:val="auto"/>
              </w:rPr>
            </w:pPr>
          </w:p>
        </w:tc>
      </w:tr>
      <w:tr>
        <w:trPr>
          <w:trHeight w:val="222"/>
        </w:trPr>
        <w:tc>
          <w:tcPr>
            <w:tcW w:w="35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Neal A. Lux</w:t>
            </w:r>
          </w:p>
        </w:tc>
        <w:tc>
          <w:tcPr>
            <w:tcW w:w="432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$675,000</w:t>
            </w:r>
          </w:p>
        </w:tc>
        <w:tc>
          <w:tcPr>
            <w:tcW w:w="3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$513,519</w:t>
            </w:r>
          </w:p>
        </w:tc>
        <w:tc>
          <w:tcPr>
            <w:tcW w:w="0" w:type="dxa"/>
            <w:vAlign w:val="bottom"/>
          </w:tcPr>
          <w:p>
            <w:pPr>
              <w:spacing w:after="0"/>
              <w:rPr>
                <w:sz w:val="1"/>
                <w:szCs w:val="1"/>
                <w:color w:val="auto"/>
              </w:rPr>
            </w:pPr>
          </w:p>
        </w:tc>
      </w:tr>
      <w:tr>
        <w:trPr>
          <w:trHeight w:val="222"/>
        </w:trPr>
        <w:tc>
          <w:tcPr>
            <w:tcW w:w="3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 Lyle Williams</w:t>
            </w:r>
          </w:p>
        </w:tc>
        <w:tc>
          <w:tcPr>
            <w:tcW w:w="432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$399,500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$302,252</w:t>
            </w:r>
          </w:p>
        </w:tc>
        <w:tc>
          <w:tcPr>
            <w:tcW w:w="0" w:type="dxa"/>
            <w:vAlign w:val="bottom"/>
          </w:tcPr>
          <w:p>
            <w:pPr>
              <w:spacing w:after="0"/>
              <w:rPr>
                <w:sz w:val="1"/>
                <w:szCs w:val="1"/>
                <w:color w:val="auto"/>
              </w:rPr>
            </w:pPr>
          </w:p>
        </w:tc>
      </w:tr>
      <w:tr>
        <w:trPr>
          <w:trHeight w:val="22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C. Ivascu</w:t>
            </w:r>
          </w:p>
        </w:tc>
        <w:tc>
          <w:tcPr>
            <w:tcW w:w="4320" w:type="dxa"/>
            <w:vAlign w:val="bottom"/>
            <w:tcBorders>
              <w:bottom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$304,000</w:t>
            </w:r>
          </w:p>
        </w:tc>
        <w:tc>
          <w:tcPr>
            <w:tcW w:w="3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$232,438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Long-Term Incentives</w:t>
      </w:r>
    </w:p>
    <w:p>
      <w:pPr>
        <w:spacing w:after="0" w:line="122" w:lineRule="exact"/>
        <w:rPr>
          <w:sz w:val="20"/>
          <w:szCs w:val="20"/>
          <w:color w:val="auto"/>
        </w:rPr>
      </w:pPr>
    </w:p>
    <w:p>
      <w:pPr>
        <w:jc w:val="both"/>
        <w:ind w:right="20" w:firstLine="470"/>
        <w:spacing w:after="0" w:line="269" w:lineRule="auto"/>
        <w:rPr>
          <w:sz w:val="20"/>
          <w:szCs w:val="20"/>
          <w:color w:val="auto"/>
        </w:rPr>
      </w:pPr>
      <w:r>
        <w:rPr>
          <w:rFonts w:ascii="Times New Roman" w:cs="Times New Roman" w:eastAsia="Times New Roman" w:hAnsi="Times New Roman"/>
          <w:sz w:val="17"/>
          <w:szCs w:val="17"/>
          <w:color w:val="auto"/>
        </w:rPr>
        <w:t>We believe that long-term awards create the strongest link between executive pay and stockholder interests and, therefore, such awards comprise the largest component of our executive compensation program. In 2023, we granted each NEO a combination of Performance RSUs and RSUs. Our Compensation and Human Capital Committee, and our board of directors in respect of Mr. Lux, granted the following equity-based long-term incentive compensation awards in 2023 to each of the NEOs.</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920" w:type="dxa"/>
            <w:vAlign w:val="bottom"/>
            <w:tcBorders>
              <w:top w:val="single" w:sz="8" w:color="auto"/>
              <w:left w:val="single" w:sz="8" w:color="auto"/>
            </w:tcBorders>
            <w:shd w:val="clear" w:color="auto" w:fill="050F70"/>
          </w:tcPr>
          <w:p>
            <w:pPr>
              <w:ind w:left="20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4160" w:type="dxa"/>
            <w:vAlign w:val="bottom"/>
            <w:tcBorders>
              <w:top w:val="single" w:sz="8" w:color="auto"/>
            </w:tcBorders>
            <w:shd w:val="clear" w:color="auto" w:fill="050F70"/>
          </w:tcPr>
          <w:p>
            <w:pPr>
              <w:jc w:val="center"/>
              <w:ind w:left="1073"/>
              <w:spacing w:after="0"/>
              <w:rPr>
                <w:sz w:val="20"/>
                <w:szCs w:val="20"/>
                <w:color w:val="auto"/>
              </w:rPr>
            </w:pPr>
            <w:r>
              <w:rPr>
                <w:rFonts w:ascii="Times New Roman" w:cs="Times New Roman" w:eastAsia="Times New Roman" w:hAnsi="Times New Roman"/>
                <w:sz w:val="17"/>
                <w:szCs w:val="17"/>
                <w:b w:val="1"/>
                <w:bCs w:val="1"/>
                <w:color w:val="FFFFFF"/>
              </w:rPr>
              <w:t>Target Performance RSUs</w:t>
            </w:r>
          </w:p>
        </w:tc>
        <w:tc>
          <w:tcPr>
            <w:tcW w:w="1500" w:type="dxa"/>
            <w:vAlign w:val="bottom"/>
            <w:tcBorders>
              <w:top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7"/>
                <w:szCs w:val="17"/>
                <w:b w:val="1"/>
                <w:bCs w:val="1"/>
                <w:color w:val="FFFFFF"/>
              </w:rPr>
              <w:t>RSUs</w:t>
            </w:r>
          </w:p>
        </w:tc>
        <w:tc>
          <w:tcPr>
            <w:tcW w:w="2640" w:type="dxa"/>
            <w:vAlign w:val="bottom"/>
            <w:tcBorders>
              <w:top w:val="single" w:sz="8" w:color="auto"/>
              <w:right w:val="single" w:sz="8" w:color="auto"/>
            </w:tcBorders>
            <w:shd w:val="clear" w:color="auto" w:fill="050F70"/>
          </w:tcPr>
          <w:p>
            <w:pPr>
              <w:ind w:left="500"/>
              <w:spacing w:after="0"/>
              <w:rPr>
                <w:sz w:val="20"/>
                <w:szCs w:val="20"/>
                <w:color w:val="auto"/>
              </w:rPr>
            </w:pPr>
            <w:r>
              <w:rPr>
                <w:rFonts w:ascii="Times New Roman" w:cs="Times New Roman" w:eastAsia="Times New Roman" w:hAnsi="Times New Roman"/>
                <w:sz w:val="17"/>
                <w:szCs w:val="17"/>
                <w:b w:val="1"/>
                <w:bCs w:val="1"/>
                <w:color w:val="FFFFFF"/>
              </w:rPr>
              <w:t>Total Grant Date Value ($)</w:t>
            </w:r>
          </w:p>
        </w:tc>
      </w:tr>
      <w:tr>
        <w:trPr>
          <w:trHeight w:val="222"/>
        </w:trPr>
        <w:tc>
          <w:tcPr>
            <w:tcW w:w="29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Neal A. Lux</w:t>
            </w:r>
          </w:p>
        </w:tc>
        <w:tc>
          <w:tcPr>
            <w:tcW w:w="4160" w:type="dxa"/>
            <w:vAlign w:val="bottom"/>
            <w:shd w:val="clear" w:color="auto" w:fill="CCEEFF"/>
          </w:tcPr>
          <w:p>
            <w:pPr>
              <w:jc w:val="center"/>
              <w:ind w:left="1073"/>
              <w:spacing w:after="0"/>
              <w:rPr>
                <w:sz w:val="20"/>
                <w:szCs w:val="20"/>
                <w:color w:val="auto"/>
              </w:rPr>
            </w:pPr>
            <w:r>
              <w:rPr>
                <w:rFonts w:ascii="Times New Roman" w:cs="Times New Roman" w:eastAsia="Times New Roman" w:hAnsi="Times New Roman"/>
                <w:sz w:val="17"/>
                <w:szCs w:val="17"/>
                <w:color w:val="auto"/>
              </w:rPr>
              <w:t>41,799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41,799</w:t>
            </w:r>
          </w:p>
        </w:tc>
        <w:tc>
          <w:tcPr>
            <w:tcW w:w="2640" w:type="dxa"/>
            <w:vAlign w:val="bottom"/>
            <w:tcBorders>
              <w:right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3,264,920</w:t>
            </w:r>
          </w:p>
        </w:tc>
      </w:tr>
      <w:tr>
        <w:trPr>
          <w:trHeight w:val="222"/>
        </w:trPr>
        <w:tc>
          <w:tcPr>
            <w:tcW w:w="29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 Lyle Williams</w:t>
            </w:r>
          </w:p>
        </w:tc>
        <w:tc>
          <w:tcPr>
            <w:tcW w:w="4160" w:type="dxa"/>
            <w:vAlign w:val="bottom"/>
          </w:tcPr>
          <w:p>
            <w:pPr>
              <w:jc w:val="center"/>
              <w:ind w:left="1073"/>
              <w:spacing w:after="0"/>
              <w:rPr>
                <w:sz w:val="20"/>
                <w:szCs w:val="20"/>
                <w:color w:val="auto"/>
              </w:rPr>
            </w:pPr>
            <w:r>
              <w:rPr>
                <w:rFonts w:ascii="Times New Roman" w:cs="Times New Roman" w:eastAsia="Times New Roman" w:hAnsi="Times New Roman"/>
                <w:sz w:val="17"/>
                <w:szCs w:val="17"/>
                <w:color w:val="auto"/>
              </w:rPr>
              <w:t>20,505</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20,505</w:t>
            </w:r>
          </w:p>
        </w:tc>
        <w:tc>
          <w:tcPr>
            <w:tcW w:w="2640" w:type="dxa"/>
            <w:vAlign w:val="bottom"/>
            <w:tcBorders>
              <w:right w:val="single" w:sz="8" w:color="auto"/>
            </w:tcBorders>
          </w:tcPr>
          <w:p>
            <w:pPr>
              <w:jc w:val="center"/>
              <w:ind w:left="253"/>
              <w:spacing w:after="0"/>
              <w:rPr>
                <w:sz w:val="20"/>
                <w:szCs w:val="20"/>
                <w:color w:val="auto"/>
              </w:rPr>
            </w:pPr>
            <w:r>
              <w:rPr>
                <w:rFonts w:ascii="Times New Roman" w:cs="Times New Roman" w:eastAsia="Times New Roman" w:hAnsi="Times New Roman"/>
                <w:sz w:val="17"/>
                <w:szCs w:val="17"/>
                <w:color w:val="auto"/>
              </w:rPr>
              <w:t>1,601,646</w:t>
            </w:r>
          </w:p>
        </w:tc>
      </w:tr>
      <w:tr>
        <w:trPr>
          <w:trHeight w:val="222"/>
        </w:trPr>
        <w:tc>
          <w:tcPr>
            <w:tcW w:w="29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C. Ivascu</w:t>
            </w:r>
          </w:p>
        </w:tc>
        <w:tc>
          <w:tcPr>
            <w:tcW w:w="4160" w:type="dxa"/>
            <w:vAlign w:val="bottom"/>
            <w:tcBorders>
              <w:bottom w:val="single" w:sz="8" w:color="auto"/>
            </w:tcBorders>
            <w:shd w:val="clear" w:color="auto" w:fill="CCEEFF"/>
          </w:tcPr>
          <w:p>
            <w:pPr>
              <w:jc w:val="center"/>
              <w:ind w:left="1073"/>
              <w:spacing w:after="0"/>
              <w:rPr>
                <w:sz w:val="20"/>
                <w:szCs w:val="20"/>
                <w:color w:val="auto"/>
              </w:rPr>
            </w:pPr>
            <w:r>
              <w:rPr>
                <w:rFonts w:ascii="Times New Roman" w:cs="Times New Roman" w:eastAsia="Times New Roman" w:hAnsi="Times New Roman"/>
                <w:sz w:val="17"/>
                <w:szCs w:val="17"/>
                <w:color w:val="auto"/>
              </w:rPr>
              <w:t>11,830</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11,830</w:t>
            </w:r>
          </w:p>
        </w:tc>
        <w:tc>
          <w:tcPr>
            <w:tcW w:w="2640" w:type="dxa"/>
            <w:vAlign w:val="bottom"/>
            <w:tcBorders>
              <w:bottom w:val="single" w:sz="8" w:color="auto"/>
              <w:right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924,041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2023 Performance RSUs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Performance RSUs granted to the NEOs in 2023 are eligible to be earned based on absolute and relative TSR over the following performance periods:</w:t>
      </w:r>
    </w:p>
    <w:p>
      <w:pPr>
        <w:spacing w:after="0" w:line="129" w:lineRule="exact"/>
        <w:rPr>
          <w:sz w:val="20"/>
          <w:szCs w:val="20"/>
          <w:color w:val="auto"/>
        </w:rPr>
      </w:pPr>
    </w:p>
    <w:p>
      <w:pPr>
        <w:ind w:left="620" w:hanging="302"/>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Tranche 1 (representing 1/3 of the total award): January 1, 2023 through December 31, 2023</w:t>
      </w:r>
    </w:p>
    <w:p>
      <w:pPr>
        <w:spacing w:after="0" w:line="13" w:lineRule="exact"/>
        <w:rPr>
          <w:rFonts w:ascii="Arial" w:cs="Arial" w:eastAsia="Arial" w:hAnsi="Arial"/>
          <w:sz w:val="21"/>
          <w:szCs w:val="21"/>
          <w:color w:val="auto"/>
        </w:rPr>
      </w:pPr>
    </w:p>
    <w:p>
      <w:pPr>
        <w:ind w:left="620" w:hanging="302"/>
        <w:spacing w:after="0" w:line="219"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Tranche 2 (representing 1/3 of the total award): January 1, 2023 through December 31, 2024</w:t>
      </w:r>
    </w:p>
    <w:p>
      <w:pPr>
        <w:spacing w:after="0" w:line="14" w:lineRule="exact"/>
        <w:rPr>
          <w:rFonts w:ascii="Arial" w:cs="Arial" w:eastAsia="Arial" w:hAnsi="Arial"/>
          <w:sz w:val="21"/>
          <w:szCs w:val="21"/>
          <w:color w:val="auto"/>
        </w:rPr>
      </w:pPr>
    </w:p>
    <w:p>
      <w:pPr>
        <w:ind w:left="620" w:hanging="302"/>
        <w:spacing w:after="0" w:line="206"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Tranche 3 (representing 1/3 of the total award): January 1, 2023 through December 31, 2025</w:t>
      </w:r>
    </w:p>
    <w:p>
      <w:pPr>
        <w:spacing w:after="0" w:line="87" w:lineRule="exact"/>
        <w:rPr>
          <w:sz w:val="20"/>
          <w:szCs w:val="20"/>
          <w:color w:val="auto"/>
        </w:rPr>
      </w:pPr>
    </w:p>
    <w:p>
      <w:pPr>
        <w:jc w:val="both"/>
        <w:ind w:right="20" w:firstLine="470"/>
        <w:spacing w:after="0" w:line="267" w:lineRule="auto"/>
        <w:rPr>
          <w:sz w:val="20"/>
          <w:szCs w:val="20"/>
          <w:color w:val="auto"/>
        </w:rPr>
      </w:pPr>
      <w:r>
        <w:rPr>
          <w:rFonts w:ascii="Times New Roman" w:cs="Times New Roman" w:eastAsia="Times New Roman" w:hAnsi="Times New Roman"/>
          <w:sz w:val="17"/>
          <w:szCs w:val="17"/>
          <w:color w:val="auto"/>
        </w:rPr>
        <w:t>The potential payout for each tranche of the 2023 Performance RSUs ranges from 0% of target if relative TSR performance is in last place among the peer group and up to 200% of target if relative TSR performance is at the top of the peer group, with target earned based on a sixth place ranking among the 11 members of the peer group (including the Company). The peer group for the 2023 Performance RSUs includes Oil States International, Inc., Dril-Quip Inc., Hunting plc, DMC Global Inc., Core Laboratories N.V., Newpark Resources, Inc., Cactus, Inc., ChampionX Corporation, NOV Inc. and Expro Group Holdings N.V.</w:t>
      </w:r>
    </w:p>
    <w:p>
      <w:pPr>
        <w:spacing w:after="0" w:line="279"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In addition, if absolute TSR over the performance period is less than -negative 15%, no more than 100% of target will be earned; if absolute TSR is less than 0% but greater than -negative 15%, then any portion earned over 100% of target will be reduced by half; and if absolute TSR is at least 15% (for Tranche 1), 17.5% (for Tranche 2) or 20% (for Tranche 3), at least 100% of target will be earned.</w:t>
      </w:r>
    </w:p>
    <w:p>
      <w:pPr>
        <w:spacing w:after="0" w:line="59"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The Company’s TSR performance with respect to Tranche 1 of the Performance RSUs resulted in the Company being ranked 11th among the members of the peer group, resulting in a payout percentage of 0%. As a result, none of Tranche 1 of the Performance RSUs became earned and all of Tranche 1 of the Performance RSUs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60"/>
          </w:cols>
          <w:pgMar w:left="320" w:top="144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auto"/>
        </w:rPr>
        <w:t>2023 RSUs</w:t>
      </w:r>
    </w:p>
    <w:p>
      <w:pPr>
        <w:spacing w:after="0" w:line="105"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The RSUs granted to the NEOs in 2023 vest in equal annual installments over three years. The value realized by the NEOs with respect to the RSUs varies with our stock price performance, creating a direct link between realized pay and stockholder interests while also serving as an ongoing retention tool.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Payout of Tranche 3 of the 2021 Performance Cash-Settled Phantom Units</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third tranche of the performance cash-settled phantom units granted to each NEO in February 2021 became earned on March 21, 2023 upon satisfaction of the stock price performance condition, which required achieving a closing stock price of $23.49 (which was 125% of the stock price on the date of grant) for 20 trading days (whether or not consecutive) during the performance period beginning February 19, 2023 and ending February 19, 2024. The earned phantom units remained subject to time-based vesting through the third anniversary of the date of grant and subsequently vested in February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Payout of Tranche 2 of the 2022 Performance RSUs</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second tranche of the Performance RSUs granted to each NEO in February 2022 became earned on March 22, 2023 upon satisfaction of the stock price performance condition, which required achieving a closing stock price of $23.68 (which was 125% of the stock price on the date of grant) for 20 trading days (whether or not consecutive) during the performance period beginning February 18, 2023 and ending February 18, 2025. The earned Performance RSUs remained subject to time-based vesting through the second anniversary of the date of grant and subsequently vested in February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6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b w:val="1"/>
          <w:bCs w:val="1"/>
          <w:color w:val="auto"/>
        </w:rPr>
        <w:t>Outstanding Equity Awards at 2023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0" w:lineRule="exact"/>
        <w:rPr>
          <w:sz w:val="20"/>
          <w:szCs w:val="20"/>
          <w:color w:val="auto"/>
        </w:rPr>
      </w:pPr>
    </w:p>
    <w:p>
      <w:pPr>
        <w:ind w:right="20" w:firstLine="470"/>
        <w:spacing w:after="0" w:line="279" w:lineRule="auto"/>
        <w:rPr>
          <w:sz w:val="20"/>
          <w:szCs w:val="20"/>
          <w:color w:val="auto"/>
        </w:rPr>
      </w:pPr>
      <w:r>
        <w:rPr>
          <w:rFonts w:ascii="Times New Roman" w:cs="Times New Roman" w:eastAsia="Times New Roman" w:hAnsi="Times New Roman"/>
          <w:sz w:val="17"/>
          <w:szCs w:val="17"/>
          <w:color w:val="auto"/>
        </w:rPr>
        <w:t>The table below sets forth awards that were granted under the Forum Energy Technologies, Inc. Amended and Restated 2016 Stock and Incentive Plan (the “2016 Plan”) and prior to the adoption thereof. Expiration dates are also shown for each individual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137795</wp:posOffset>
            </wp:positionV>
            <wp:extent cx="5934710" cy="1002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34710" cy="1002665"/>
                    </a:xfrm>
                    <a:prstGeom prst="rect">
                      <a:avLst/>
                    </a:prstGeom>
                    <a:noFill/>
                  </pic:spPr>
                </pic:pic>
              </a:graphicData>
            </a:graphic>
          </wp:anchor>
        </w:drawing>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940" w:type="dxa"/>
            <w:vAlign w:val="bottom"/>
            <w:tcBorders>
              <w:top w:val="single" w:sz="8" w:color="auto"/>
              <w:left w:val="single" w:sz="8" w:color="auto"/>
              <w:right w:val="single" w:sz="8" w:color="050F70"/>
            </w:tcBorders>
            <w:shd w:val="clear" w:color="auto" w:fill="050F70"/>
          </w:tcPr>
          <w:p>
            <w:pPr>
              <w:spacing w:after="0"/>
              <w:rPr>
                <w:sz w:val="17"/>
                <w:szCs w:val="17"/>
                <w:color w:val="auto"/>
              </w:rPr>
            </w:pPr>
          </w:p>
        </w:tc>
        <w:tc>
          <w:tcPr>
            <w:tcW w:w="1100" w:type="dxa"/>
            <w:vAlign w:val="bottom"/>
            <w:tcBorders>
              <w:top w:val="single" w:sz="8" w:color="auto"/>
              <w:right w:val="single" w:sz="8" w:color="050F70"/>
            </w:tcBorders>
            <w:shd w:val="clear" w:color="auto" w:fill="050F70"/>
          </w:tcPr>
          <w:p>
            <w:pPr>
              <w:spacing w:after="0"/>
              <w:rPr>
                <w:sz w:val="17"/>
                <w:szCs w:val="17"/>
                <w:color w:val="auto"/>
              </w:rPr>
            </w:pPr>
          </w:p>
        </w:tc>
        <w:tc>
          <w:tcPr>
            <w:tcW w:w="2080" w:type="dxa"/>
            <w:vAlign w:val="bottom"/>
            <w:tcBorders>
              <w:top w:val="single" w:sz="8" w:color="auto"/>
              <w:right w:val="single" w:sz="8" w:color="050F70"/>
            </w:tcBorders>
            <w:gridSpan w:val="2"/>
            <w:shd w:val="clear" w:color="auto" w:fill="050F70"/>
          </w:tcPr>
          <w:p>
            <w:pPr>
              <w:ind w:left="560"/>
              <w:spacing w:after="0"/>
              <w:rPr>
                <w:sz w:val="20"/>
                <w:szCs w:val="20"/>
                <w:color w:val="auto"/>
              </w:rPr>
            </w:pPr>
            <w:r>
              <w:rPr>
                <w:rFonts w:ascii="Times New Roman" w:cs="Times New Roman" w:eastAsia="Times New Roman" w:hAnsi="Times New Roman"/>
                <w:sz w:val="14"/>
                <w:szCs w:val="14"/>
                <w:b w:val="1"/>
                <w:bCs w:val="1"/>
                <w:color w:val="FFFFFF"/>
              </w:rPr>
              <w:t>Option Awards</w:t>
            </w:r>
          </w:p>
        </w:tc>
        <w:tc>
          <w:tcPr>
            <w:tcW w:w="1060" w:type="dxa"/>
            <w:vAlign w:val="bottom"/>
            <w:tcBorders>
              <w:top w:val="single" w:sz="8" w:color="auto"/>
              <w:right w:val="single" w:sz="8" w:color="050F70"/>
            </w:tcBorders>
            <w:shd w:val="clear" w:color="auto" w:fill="050F70"/>
          </w:tcPr>
          <w:p>
            <w:pPr>
              <w:spacing w:after="0"/>
              <w:rPr>
                <w:sz w:val="17"/>
                <w:szCs w:val="17"/>
                <w:color w:val="auto"/>
              </w:rPr>
            </w:pPr>
          </w:p>
        </w:tc>
        <w:tc>
          <w:tcPr>
            <w:tcW w:w="1280" w:type="dxa"/>
            <w:vAlign w:val="bottom"/>
            <w:tcBorders>
              <w:top w:val="single" w:sz="8" w:color="auto"/>
              <w:right w:val="single" w:sz="8" w:color="050F70"/>
            </w:tcBorders>
            <w:shd w:val="clear" w:color="auto" w:fill="050F70"/>
          </w:tcPr>
          <w:p>
            <w:pPr>
              <w:spacing w:after="0"/>
              <w:rPr>
                <w:sz w:val="17"/>
                <w:szCs w:val="17"/>
                <w:color w:val="auto"/>
              </w:rPr>
            </w:pPr>
          </w:p>
        </w:tc>
        <w:tc>
          <w:tcPr>
            <w:tcW w:w="2520" w:type="dxa"/>
            <w:vAlign w:val="bottom"/>
            <w:tcBorders>
              <w:top w:val="single" w:sz="8" w:color="auto"/>
              <w:right w:val="single" w:sz="8" w:color="050F70"/>
            </w:tcBorders>
            <w:gridSpan w:val="2"/>
            <w:shd w:val="clear" w:color="auto" w:fill="050F70"/>
          </w:tcPr>
          <w:p>
            <w:pPr>
              <w:ind w:left="840"/>
              <w:spacing w:after="0"/>
              <w:rPr>
                <w:sz w:val="20"/>
                <w:szCs w:val="20"/>
                <w:color w:val="auto"/>
              </w:rPr>
            </w:pPr>
            <w:r>
              <w:rPr>
                <w:rFonts w:ascii="Times New Roman" w:cs="Times New Roman" w:eastAsia="Times New Roman" w:hAnsi="Times New Roman"/>
                <w:sz w:val="14"/>
                <w:szCs w:val="14"/>
                <w:b w:val="1"/>
                <w:bCs w:val="1"/>
                <w:color w:val="FFFFFF"/>
              </w:rPr>
              <w:t>Stock Awards</w:t>
            </w:r>
          </w:p>
        </w:tc>
        <w:tc>
          <w:tcPr>
            <w:tcW w:w="1280" w:type="dxa"/>
            <w:vAlign w:val="bottom"/>
            <w:tcBorders>
              <w:top w:val="single" w:sz="8" w:color="auto"/>
              <w:right w:val="single" w:sz="8" w:color="auto"/>
            </w:tcBorders>
            <w:shd w:val="clear" w:color="auto" w:fill="050F70"/>
          </w:tcPr>
          <w:p>
            <w:pPr>
              <w:spacing w:after="0"/>
              <w:rPr>
                <w:sz w:val="17"/>
                <w:szCs w:val="17"/>
                <w:color w:val="auto"/>
              </w:rPr>
            </w:pPr>
          </w:p>
        </w:tc>
      </w:tr>
      <w:tr>
        <w:trPr>
          <w:trHeight w:val="208"/>
        </w:trPr>
        <w:tc>
          <w:tcPr>
            <w:tcW w:w="1940" w:type="dxa"/>
            <w:vAlign w:val="bottom"/>
            <w:tcBorders>
              <w:left w:val="single" w:sz="8" w:color="auto"/>
              <w:right w:val="single" w:sz="8" w:color="050F70"/>
            </w:tcBorders>
            <w:shd w:val="clear" w:color="auto" w:fill="050F70"/>
          </w:tcPr>
          <w:p>
            <w:pPr>
              <w:ind w:left="4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10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114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Number of</w:t>
            </w:r>
          </w:p>
        </w:tc>
        <w:tc>
          <w:tcPr>
            <w:tcW w:w="94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Option</w:t>
            </w:r>
          </w:p>
        </w:tc>
        <w:tc>
          <w:tcPr>
            <w:tcW w:w="10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Option</w:t>
            </w:r>
          </w:p>
        </w:tc>
        <w:tc>
          <w:tcPr>
            <w:tcW w:w="128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Number of Shares</w:t>
            </w:r>
          </w:p>
        </w:tc>
        <w:tc>
          <w:tcPr>
            <w:tcW w:w="12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Market Value of</w:t>
            </w:r>
          </w:p>
        </w:tc>
        <w:tc>
          <w:tcPr>
            <w:tcW w:w="12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Equity Incentive</w:t>
            </w:r>
          </w:p>
        </w:tc>
        <w:tc>
          <w:tcPr>
            <w:tcW w:w="128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Equity Incentive</w:t>
            </w:r>
          </w:p>
        </w:tc>
      </w:tr>
      <w:tr>
        <w:trPr>
          <w:trHeight w:val="157"/>
        </w:trPr>
        <w:tc>
          <w:tcPr>
            <w:tcW w:w="1940" w:type="dxa"/>
            <w:vAlign w:val="bottom"/>
            <w:tcBorders>
              <w:left w:val="single" w:sz="8" w:color="auto"/>
              <w:right w:val="single" w:sz="8" w:color="050F70"/>
            </w:tcBorders>
            <w:shd w:val="clear" w:color="auto" w:fill="050F70"/>
          </w:tcPr>
          <w:p>
            <w:pPr>
              <w:spacing w:after="0"/>
              <w:rPr>
                <w:sz w:val="13"/>
                <w:szCs w:val="13"/>
                <w:color w:val="auto"/>
              </w:rPr>
            </w:pPr>
          </w:p>
        </w:tc>
        <w:tc>
          <w:tcPr>
            <w:tcW w:w="110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114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94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8"/>
              </w:rPr>
              <w:t>Exercise Price</w:t>
            </w:r>
          </w:p>
        </w:tc>
        <w:tc>
          <w:tcPr>
            <w:tcW w:w="106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Expiration Date</w:t>
            </w:r>
          </w:p>
        </w:tc>
        <w:tc>
          <w:tcPr>
            <w:tcW w:w="128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or Units of Stock</w:t>
            </w:r>
          </w:p>
        </w:tc>
        <w:tc>
          <w:tcPr>
            <w:tcW w:w="126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8"/>
              </w:rPr>
              <w:t>Shares or Units of</w:t>
            </w:r>
          </w:p>
        </w:tc>
        <w:tc>
          <w:tcPr>
            <w:tcW w:w="1260" w:type="dxa"/>
            <w:vAlign w:val="bottom"/>
            <w:tcBorders>
              <w:right w:val="single" w:sz="8" w:color="050F70"/>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7"/>
              </w:rPr>
              <w:t>Plan Awards:</w:t>
            </w:r>
          </w:p>
        </w:tc>
        <w:tc>
          <w:tcPr>
            <w:tcW w:w="1280" w:type="dxa"/>
            <w:vAlign w:val="bottom"/>
            <w:tcBorders>
              <w:right w:val="single" w:sz="8" w:color="auto"/>
            </w:tcBorders>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Plan Awards:</w:t>
            </w:r>
          </w:p>
        </w:tc>
      </w:tr>
      <w:tr>
        <w:trPr>
          <w:trHeight w:val="142"/>
        </w:trPr>
        <w:tc>
          <w:tcPr>
            <w:tcW w:w="1940" w:type="dxa"/>
            <w:vAlign w:val="bottom"/>
            <w:tcBorders>
              <w:left w:val="single" w:sz="8" w:color="auto"/>
              <w:right w:val="single" w:sz="8" w:color="050F70"/>
            </w:tcBorders>
            <w:shd w:val="clear" w:color="auto" w:fill="050F70"/>
          </w:tcPr>
          <w:p>
            <w:pPr>
              <w:spacing w:after="0"/>
              <w:rPr>
                <w:sz w:val="12"/>
                <w:szCs w:val="12"/>
                <w:color w:val="auto"/>
              </w:rPr>
            </w:pPr>
          </w:p>
        </w:tc>
        <w:tc>
          <w:tcPr>
            <w:tcW w:w="110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7"/>
              </w:rPr>
              <w:t>Underlying</w:t>
            </w:r>
          </w:p>
        </w:tc>
        <w:tc>
          <w:tcPr>
            <w:tcW w:w="114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rPr>
              <w:t>Underlying</w:t>
            </w:r>
          </w:p>
        </w:tc>
        <w:tc>
          <w:tcPr>
            <w:tcW w:w="94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7"/>
              </w:rPr>
              <w:t>($)</w:t>
            </w:r>
          </w:p>
        </w:tc>
        <w:tc>
          <w:tcPr>
            <w:tcW w:w="1060" w:type="dxa"/>
            <w:vAlign w:val="bottom"/>
            <w:tcBorders>
              <w:right w:val="single" w:sz="8" w:color="050F70"/>
            </w:tcBorders>
            <w:shd w:val="clear" w:color="auto" w:fill="050F70"/>
          </w:tcPr>
          <w:p>
            <w:pPr>
              <w:spacing w:after="0"/>
              <w:rPr>
                <w:sz w:val="12"/>
                <w:szCs w:val="12"/>
                <w:color w:val="auto"/>
              </w:rPr>
            </w:pPr>
          </w:p>
        </w:tc>
        <w:tc>
          <w:tcPr>
            <w:tcW w:w="128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9"/>
              </w:rPr>
              <w:t>That Have Not</w:t>
            </w:r>
          </w:p>
        </w:tc>
        <w:tc>
          <w:tcPr>
            <w:tcW w:w="126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9"/>
              </w:rPr>
              <w:t>Stock That Have</w:t>
            </w:r>
          </w:p>
        </w:tc>
        <w:tc>
          <w:tcPr>
            <w:tcW w:w="126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8"/>
              </w:rPr>
              <w:t>Number of</w:t>
            </w:r>
          </w:p>
        </w:tc>
        <w:tc>
          <w:tcPr>
            <w:tcW w:w="1280" w:type="dxa"/>
            <w:vAlign w:val="bottom"/>
            <w:tcBorders>
              <w:right w:val="single" w:sz="8" w:color="auto"/>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8"/>
              </w:rPr>
              <w:t>Market or Payout</w:t>
            </w:r>
          </w:p>
        </w:tc>
      </w:tr>
      <w:tr>
        <w:trPr>
          <w:trHeight w:val="171"/>
        </w:trPr>
        <w:tc>
          <w:tcPr>
            <w:tcW w:w="1940" w:type="dxa"/>
            <w:vAlign w:val="bottom"/>
            <w:tcBorders>
              <w:left w:val="single" w:sz="8" w:color="auto"/>
              <w:right w:val="single" w:sz="8" w:color="050F70"/>
            </w:tcBorders>
            <w:shd w:val="clear" w:color="auto" w:fill="050F70"/>
          </w:tcPr>
          <w:p>
            <w:pPr>
              <w:spacing w:after="0"/>
              <w:rPr>
                <w:sz w:val="14"/>
                <w:szCs w:val="14"/>
                <w:color w:val="auto"/>
              </w:rPr>
            </w:pPr>
          </w:p>
        </w:tc>
        <w:tc>
          <w:tcPr>
            <w:tcW w:w="110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Unexercised</w:t>
            </w:r>
          </w:p>
        </w:tc>
        <w:tc>
          <w:tcPr>
            <w:tcW w:w="114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Unexercised</w:t>
            </w:r>
          </w:p>
        </w:tc>
        <w:tc>
          <w:tcPr>
            <w:tcW w:w="940" w:type="dxa"/>
            <w:vAlign w:val="bottom"/>
            <w:tcBorders>
              <w:right w:val="single" w:sz="8" w:color="050F70"/>
            </w:tcBorders>
            <w:shd w:val="clear" w:color="auto" w:fill="050F70"/>
          </w:tcPr>
          <w:p>
            <w:pPr>
              <w:spacing w:after="0"/>
              <w:rPr>
                <w:sz w:val="14"/>
                <w:szCs w:val="14"/>
                <w:color w:val="auto"/>
              </w:rPr>
            </w:pPr>
          </w:p>
        </w:tc>
        <w:tc>
          <w:tcPr>
            <w:tcW w:w="1060" w:type="dxa"/>
            <w:vAlign w:val="bottom"/>
            <w:tcBorders>
              <w:right w:val="single" w:sz="8" w:color="050F70"/>
            </w:tcBorders>
            <w:shd w:val="clear" w:color="auto" w:fill="050F70"/>
          </w:tcPr>
          <w:p>
            <w:pPr>
              <w:spacing w:after="0"/>
              <w:rPr>
                <w:sz w:val="14"/>
                <w:szCs w:val="14"/>
                <w:color w:val="auto"/>
              </w:rPr>
            </w:pPr>
          </w:p>
        </w:tc>
        <w:tc>
          <w:tcPr>
            <w:tcW w:w="128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6"/>
              </w:rPr>
              <w:t>Vested (#)</w:t>
            </w:r>
          </w:p>
        </w:tc>
        <w:tc>
          <w:tcPr>
            <w:tcW w:w="1260" w:type="dxa"/>
            <w:vAlign w:val="bottom"/>
            <w:tcBorders>
              <w:right w:val="single" w:sz="8" w:color="050F70"/>
            </w:tcBorders>
            <w:shd w:val="clear" w:color="auto" w:fill="050F70"/>
          </w:tcPr>
          <w:p>
            <w:pPr>
              <w:jc w:val="center"/>
              <w:spacing w:after="0" w:line="172" w:lineRule="exact"/>
              <w:rPr>
                <w:sz w:val="20"/>
                <w:szCs w:val="20"/>
                <w:color w:val="auto"/>
              </w:rPr>
            </w:pPr>
            <w:r>
              <w:rPr>
                <w:rFonts w:ascii="Times New Roman" w:cs="Times New Roman" w:eastAsia="Times New Roman" w:hAnsi="Times New Roman"/>
                <w:sz w:val="12"/>
                <w:szCs w:val="12"/>
                <w:b w:val="1"/>
                <w:bCs w:val="1"/>
                <w:color w:val="FFFFFF"/>
              </w:rPr>
              <w:t>Not Vested</w:t>
            </w:r>
            <w:r>
              <w:rPr>
                <w:rFonts w:ascii="Times New Roman" w:cs="Times New Roman" w:eastAsia="Times New Roman" w:hAnsi="Times New Roman"/>
                <w:sz w:val="19"/>
                <w:szCs w:val="19"/>
                <w:b w:val="1"/>
                <w:bCs w:val="1"/>
                <w:color w:val="FFFFFF"/>
                <w:vertAlign w:val="superscript"/>
              </w:rPr>
              <w:t>(1)</w:t>
            </w:r>
            <w:r>
              <w:rPr>
                <w:rFonts w:ascii="Times New Roman" w:cs="Times New Roman" w:eastAsia="Times New Roman" w:hAnsi="Times New Roman"/>
                <w:sz w:val="12"/>
                <w:szCs w:val="12"/>
                <w:b w:val="1"/>
                <w:bCs w:val="1"/>
                <w:color w:val="FFFFFF"/>
              </w:rPr>
              <w:t xml:space="preserve"> ($)</w:t>
            </w:r>
          </w:p>
        </w:tc>
        <w:tc>
          <w:tcPr>
            <w:tcW w:w="12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Unearned Shares,</w:t>
            </w:r>
          </w:p>
        </w:tc>
        <w:tc>
          <w:tcPr>
            <w:tcW w:w="128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Value of Unearned</w:t>
            </w:r>
          </w:p>
        </w:tc>
      </w:tr>
      <w:tr>
        <w:trPr>
          <w:trHeight w:val="170"/>
        </w:trPr>
        <w:tc>
          <w:tcPr>
            <w:tcW w:w="1940" w:type="dxa"/>
            <w:vAlign w:val="bottom"/>
            <w:tcBorders>
              <w:left w:val="single" w:sz="8" w:color="auto"/>
              <w:right w:val="single" w:sz="8" w:color="050F70"/>
            </w:tcBorders>
            <w:shd w:val="clear" w:color="auto" w:fill="050F70"/>
          </w:tcPr>
          <w:p>
            <w:pPr>
              <w:spacing w:after="0"/>
              <w:rPr>
                <w:sz w:val="14"/>
                <w:szCs w:val="14"/>
                <w:color w:val="auto"/>
              </w:rPr>
            </w:pPr>
          </w:p>
        </w:tc>
        <w:tc>
          <w:tcPr>
            <w:tcW w:w="110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Options (#)</w:t>
            </w:r>
          </w:p>
        </w:tc>
        <w:tc>
          <w:tcPr>
            <w:tcW w:w="114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Options (#)</w:t>
            </w:r>
          </w:p>
        </w:tc>
        <w:tc>
          <w:tcPr>
            <w:tcW w:w="940" w:type="dxa"/>
            <w:vAlign w:val="bottom"/>
            <w:tcBorders>
              <w:right w:val="single" w:sz="8" w:color="050F70"/>
            </w:tcBorders>
            <w:shd w:val="clear" w:color="auto" w:fill="050F70"/>
          </w:tcPr>
          <w:p>
            <w:pPr>
              <w:spacing w:after="0"/>
              <w:rPr>
                <w:sz w:val="14"/>
                <w:szCs w:val="14"/>
                <w:color w:val="auto"/>
              </w:rPr>
            </w:pPr>
          </w:p>
        </w:tc>
        <w:tc>
          <w:tcPr>
            <w:tcW w:w="1060" w:type="dxa"/>
            <w:vAlign w:val="bottom"/>
            <w:tcBorders>
              <w:right w:val="single" w:sz="8" w:color="050F70"/>
            </w:tcBorders>
            <w:shd w:val="clear" w:color="auto" w:fill="050F70"/>
          </w:tcPr>
          <w:p>
            <w:pPr>
              <w:spacing w:after="0"/>
              <w:rPr>
                <w:sz w:val="14"/>
                <w:szCs w:val="14"/>
                <w:color w:val="auto"/>
              </w:rPr>
            </w:pPr>
          </w:p>
        </w:tc>
        <w:tc>
          <w:tcPr>
            <w:tcW w:w="1280" w:type="dxa"/>
            <w:vAlign w:val="bottom"/>
            <w:tcBorders>
              <w:right w:val="single" w:sz="8" w:color="050F70"/>
            </w:tcBorders>
            <w:shd w:val="clear" w:color="auto" w:fill="050F70"/>
          </w:tcPr>
          <w:p>
            <w:pPr>
              <w:spacing w:after="0"/>
              <w:rPr>
                <w:sz w:val="14"/>
                <w:szCs w:val="14"/>
                <w:color w:val="auto"/>
              </w:rPr>
            </w:pPr>
          </w:p>
        </w:tc>
        <w:tc>
          <w:tcPr>
            <w:tcW w:w="1260" w:type="dxa"/>
            <w:vAlign w:val="bottom"/>
            <w:tcBorders>
              <w:right w:val="single" w:sz="8" w:color="050F70"/>
            </w:tcBorders>
            <w:shd w:val="clear" w:color="auto" w:fill="050F70"/>
          </w:tcPr>
          <w:p>
            <w:pPr>
              <w:spacing w:after="0"/>
              <w:rPr>
                <w:sz w:val="14"/>
                <w:szCs w:val="14"/>
                <w:color w:val="auto"/>
              </w:rPr>
            </w:pPr>
          </w:p>
        </w:tc>
        <w:tc>
          <w:tcPr>
            <w:tcW w:w="12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Units or Other</w:t>
            </w:r>
          </w:p>
        </w:tc>
        <w:tc>
          <w:tcPr>
            <w:tcW w:w="128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Shares, Units or</w:t>
            </w:r>
          </w:p>
        </w:tc>
      </w:tr>
      <w:tr>
        <w:trPr>
          <w:trHeight w:val="142"/>
        </w:trPr>
        <w:tc>
          <w:tcPr>
            <w:tcW w:w="1940" w:type="dxa"/>
            <w:vAlign w:val="bottom"/>
            <w:tcBorders>
              <w:left w:val="single" w:sz="8" w:color="auto"/>
              <w:right w:val="single" w:sz="8" w:color="050F70"/>
            </w:tcBorders>
            <w:shd w:val="clear" w:color="auto" w:fill="050F70"/>
          </w:tcPr>
          <w:p>
            <w:pPr>
              <w:spacing w:after="0"/>
              <w:rPr>
                <w:sz w:val="12"/>
                <w:szCs w:val="12"/>
                <w:color w:val="auto"/>
              </w:rPr>
            </w:pPr>
          </w:p>
        </w:tc>
        <w:tc>
          <w:tcPr>
            <w:tcW w:w="110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rPr>
              <w:t>Exercisable</w:t>
            </w:r>
          </w:p>
        </w:tc>
        <w:tc>
          <w:tcPr>
            <w:tcW w:w="114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rPr>
              <w:t>Unxercisable</w:t>
            </w:r>
          </w:p>
        </w:tc>
        <w:tc>
          <w:tcPr>
            <w:tcW w:w="940" w:type="dxa"/>
            <w:vAlign w:val="bottom"/>
            <w:tcBorders>
              <w:right w:val="single" w:sz="8" w:color="050F70"/>
            </w:tcBorders>
            <w:shd w:val="clear" w:color="auto" w:fill="050F70"/>
          </w:tcPr>
          <w:p>
            <w:pPr>
              <w:spacing w:after="0"/>
              <w:rPr>
                <w:sz w:val="12"/>
                <w:szCs w:val="12"/>
                <w:color w:val="auto"/>
              </w:rPr>
            </w:pPr>
          </w:p>
        </w:tc>
        <w:tc>
          <w:tcPr>
            <w:tcW w:w="1060" w:type="dxa"/>
            <w:vAlign w:val="bottom"/>
            <w:tcBorders>
              <w:right w:val="single" w:sz="8" w:color="050F70"/>
            </w:tcBorders>
            <w:shd w:val="clear" w:color="auto" w:fill="050F70"/>
          </w:tcPr>
          <w:p>
            <w:pPr>
              <w:spacing w:after="0"/>
              <w:rPr>
                <w:sz w:val="12"/>
                <w:szCs w:val="12"/>
                <w:color w:val="auto"/>
              </w:rPr>
            </w:pPr>
          </w:p>
        </w:tc>
        <w:tc>
          <w:tcPr>
            <w:tcW w:w="1280" w:type="dxa"/>
            <w:vAlign w:val="bottom"/>
            <w:tcBorders>
              <w:right w:val="single" w:sz="8" w:color="050F70"/>
            </w:tcBorders>
            <w:shd w:val="clear" w:color="auto" w:fill="050F70"/>
          </w:tcPr>
          <w:p>
            <w:pPr>
              <w:spacing w:after="0"/>
              <w:rPr>
                <w:sz w:val="12"/>
                <w:szCs w:val="12"/>
                <w:color w:val="auto"/>
              </w:rPr>
            </w:pPr>
          </w:p>
        </w:tc>
        <w:tc>
          <w:tcPr>
            <w:tcW w:w="1260" w:type="dxa"/>
            <w:vAlign w:val="bottom"/>
            <w:tcBorders>
              <w:right w:val="single" w:sz="8" w:color="050F70"/>
            </w:tcBorders>
            <w:shd w:val="clear" w:color="auto" w:fill="050F70"/>
          </w:tcPr>
          <w:p>
            <w:pPr>
              <w:spacing w:after="0"/>
              <w:rPr>
                <w:sz w:val="12"/>
                <w:szCs w:val="12"/>
                <w:color w:val="auto"/>
              </w:rPr>
            </w:pPr>
          </w:p>
        </w:tc>
        <w:tc>
          <w:tcPr>
            <w:tcW w:w="1260" w:type="dxa"/>
            <w:vAlign w:val="bottom"/>
            <w:tcBorders>
              <w:right w:val="single" w:sz="8" w:color="050F70"/>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8"/>
              </w:rPr>
              <w:t>Rights That Have</w:t>
            </w:r>
          </w:p>
        </w:tc>
        <w:tc>
          <w:tcPr>
            <w:tcW w:w="1280" w:type="dxa"/>
            <w:vAlign w:val="bottom"/>
            <w:tcBorders>
              <w:right w:val="single" w:sz="8" w:color="auto"/>
            </w:tcBorders>
            <w:shd w:val="clear" w:color="auto" w:fill="050F70"/>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9"/>
              </w:rPr>
              <w:t>Other Rights That</w:t>
            </w:r>
          </w:p>
        </w:tc>
      </w:tr>
      <w:tr>
        <w:trPr>
          <w:trHeight w:val="171"/>
        </w:trPr>
        <w:tc>
          <w:tcPr>
            <w:tcW w:w="1940" w:type="dxa"/>
            <w:vAlign w:val="bottom"/>
            <w:tcBorders>
              <w:left w:val="single" w:sz="8" w:color="auto"/>
              <w:right w:val="single" w:sz="8" w:color="050F70"/>
            </w:tcBorders>
            <w:shd w:val="clear" w:color="auto" w:fill="050F70"/>
          </w:tcPr>
          <w:p>
            <w:pPr>
              <w:spacing w:after="0"/>
              <w:rPr>
                <w:sz w:val="14"/>
                <w:szCs w:val="14"/>
                <w:color w:val="auto"/>
              </w:rPr>
            </w:pPr>
          </w:p>
        </w:tc>
        <w:tc>
          <w:tcPr>
            <w:tcW w:w="1100" w:type="dxa"/>
            <w:vAlign w:val="bottom"/>
            <w:tcBorders>
              <w:right w:val="single" w:sz="8" w:color="050F70"/>
            </w:tcBorders>
            <w:shd w:val="clear" w:color="auto" w:fill="050F70"/>
          </w:tcPr>
          <w:p>
            <w:pPr>
              <w:spacing w:after="0"/>
              <w:rPr>
                <w:sz w:val="14"/>
                <w:szCs w:val="14"/>
                <w:color w:val="auto"/>
              </w:rPr>
            </w:pPr>
          </w:p>
        </w:tc>
        <w:tc>
          <w:tcPr>
            <w:tcW w:w="1140" w:type="dxa"/>
            <w:vAlign w:val="bottom"/>
            <w:tcBorders>
              <w:right w:val="single" w:sz="8" w:color="050F70"/>
            </w:tcBorders>
            <w:shd w:val="clear" w:color="auto" w:fill="050F70"/>
          </w:tcPr>
          <w:p>
            <w:pPr>
              <w:spacing w:after="0"/>
              <w:rPr>
                <w:sz w:val="14"/>
                <w:szCs w:val="14"/>
                <w:color w:val="auto"/>
              </w:rPr>
            </w:pPr>
          </w:p>
        </w:tc>
        <w:tc>
          <w:tcPr>
            <w:tcW w:w="940" w:type="dxa"/>
            <w:vAlign w:val="bottom"/>
            <w:tcBorders>
              <w:right w:val="single" w:sz="8" w:color="050F70"/>
            </w:tcBorders>
            <w:shd w:val="clear" w:color="auto" w:fill="050F70"/>
          </w:tcPr>
          <w:p>
            <w:pPr>
              <w:spacing w:after="0"/>
              <w:rPr>
                <w:sz w:val="14"/>
                <w:szCs w:val="14"/>
                <w:color w:val="auto"/>
              </w:rPr>
            </w:pPr>
          </w:p>
        </w:tc>
        <w:tc>
          <w:tcPr>
            <w:tcW w:w="1060" w:type="dxa"/>
            <w:vAlign w:val="bottom"/>
            <w:tcBorders>
              <w:right w:val="single" w:sz="8" w:color="050F70"/>
            </w:tcBorders>
            <w:shd w:val="clear" w:color="auto" w:fill="050F70"/>
          </w:tcPr>
          <w:p>
            <w:pPr>
              <w:spacing w:after="0"/>
              <w:rPr>
                <w:sz w:val="14"/>
                <w:szCs w:val="14"/>
                <w:color w:val="auto"/>
              </w:rPr>
            </w:pPr>
          </w:p>
        </w:tc>
        <w:tc>
          <w:tcPr>
            <w:tcW w:w="1280" w:type="dxa"/>
            <w:vAlign w:val="bottom"/>
            <w:tcBorders>
              <w:right w:val="single" w:sz="8" w:color="050F70"/>
            </w:tcBorders>
            <w:shd w:val="clear" w:color="auto" w:fill="050F70"/>
          </w:tcPr>
          <w:p>
            <w:pPr>
              <w:spacing w:after="0"/>
              <w:rPr>
                <w:sz w:val="14"/>
                <w:szCs w:val="14"/>
                <w:color w:val="auto"/>
              </w:rPr>
            </w:pPr>
          </w:p>
        </w:tc>
        <w:tc>
          <w:tcPr>
            <w:tcW w:w="1260" w:type="dxa"/>
            <w:vAlign w:val="bottom"/>
            <w:tcBorders>
              <w:right w:val="single" w:sz="8" w:color="050F70"/>
            </w:tcBorders>
            <w:shd w:val="clear" w:color="auto" w:fill="050F70"/>
          </w:tcPr>
          <w:p>
            <w:pPr>
              <w:spacing w:after="0"/>
              <w:rPr>
                <w:sz w:val="14"/>
                <w:szCs w:val="14"/>
                <w:color w:val="auto"/>
              </w:rPr>
            </w:pPr>
          </w:p>
        </w:tc>
        <w:tc>
          <w:tcPr>
            <w:tcW w:w="1260" w:type="dxa"/>
            <w:vAlign w:val="bottom"/>
            <w:tcBorders>
              <w:right w:val="single" w:sz="8" w:color="050F70"/>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Not Vested (#)</w:t>
            </w:r>
          </w:p>
        </w:tc>
        <w:tc>
          <w:tcPr>
            <w:tcW w:w="1280" w:type="dxa"/>
            <w:vAlign w:val="bottom"/>
            <w:tcBorders>
              <w:right w:val="single" w:sz="8" w:color="auto"/>
            </w:tcBorders>
            <w:shd w:val="clear" w:color="auto" w:fill="050F70"/>
          </w:tcPr>
          <w:p>
            <w:pPr>
              <w:jc w:val="center"/>
              <w:spacing w:after="0" w:line="172" w:lineRule="exact"/>
              <w:rPr>
                <w:sz w:val="20"/>
                <w:szCs w:val="20"/>
                <w:color w:val="auto"/>
              </w:rPr>
            </w:pPr>
            <w:r>
              <w:rPr>
                <w:rFonts w:ascii="Times New Roman" w:cs="Times New Roman" w:eastAsia="Times New Roman" w:hAnsi="Times New Roman"/>
                <w:sz w:val="12"/>
                <w:szCs w:val="12"/>
                <w:b w:val="1"/>
                <w:bCs w:val="1"/>
                <w:color w:val="FFFFFF"/>
              </w:rPr>
              <w:t>Have Not Vested</w:t>
            </w:r>
            <w:r>
              <w:rPr>
                <w:rFonts w:ascii="Times New Roman" w:cs="Times New Roman" w:eastAsia="Times New Roman" w:hAnsi="Times New Roman"/>
                <w:sz w:val="19"/>
                <w:szCs w:val="19"/>
                <w:b w:val="1"/>
                <w:bCs w:val="1"/>
                <w:color w:val="FFFFFF"/>
                <w:vertAlign w:val="superscript"/>
              </w:rPr>
              <w:t>(1)</w:t>
            </w:r>
          </w:p>
        </w:tc>
      </w:tr>
      <w:tr>
        <w:trPr>
          <w:trHeight w:val="212"/>
        </w:trPr>
        <w:tc>
          <w:tcPr>
            <w:tcW w:w="1940" w:type="dxa"/>
            <w:vAlign w:val="bottom"/>
            <w:tcBorders>
              <w:left w:val="single" w:sz="8" w:color="auto"/>
              <w:bottom w:val="single" w:sz="8" w:color="050F70"/>
              <w:right w:val="single" w:sz="8" w:color="050F70"/>
            </w:tcBorders>
            <w:shd w:val="clear" w:color="auto" w:fill="050F70"/>
          </w:tcPr>
          <w:p>
            <w:pPr>
              <w:spacing w:after="0"/>
              <w:rPr>
                <w:sz w:val="18"/>
                <w:szCs w:val="18"/>
                <w:color w:val="auto"/>
              </w:rPr>
            </w:pPr>
          </w:p>
        </w:tc>
        <w:tc>
          <w:tcPr>
            <w:tcW w:w="1100" w:type="dxa"/>
            <w:vAlign w:val="bottom"/>
            <w:tcBorders>
              <w:bottom w:val="single" w:sz="8" w:color="050F70"/>
              <w:right w:val="single" w:sz="8" w:color="050F70"/>
            </w:tcBorders>
            <w:shd w:val="clear" w:color="auto" w:fill="050F70"/>
          </w:tcPr>
          <w:p>
            <w:pPr>
              <w:spacing w:after="0"/>
              <w:rPr>
                <w:sz w:val="18"/>
                <w:szCs w:val="18"/>
                <w:color w:val="auto"/>
              </w:rPr>
            </w:pPr>
          </w:p>
        </w:tc>
        <w:tc>
          <w:tcPr>
            <w:tcW w:w="1140" w:type="dxa"/>
            <w:vAlign w:val="bottom"/>
            <w:tcBorders>
              <w:bottom w:val="single" w:sz="8" w:color="050F70"/>
              <w:right w:val="single" w:sz="8" w:color="050F70"/>
            </w:tcBorders>
            <w:shd w:val="clear" w:color="auto" w:fill="050F70"/>
          </w:tcPr>
          <w:p>
            <w:pPr>
              <w:spacing w:after="0"/>
              <w:rPr>
                <w:sz w:val="18"/>
                <w:szCs w:val="18"/>
                <w:color w:val="auto"/>
              </w:rPr>
            </w:pPr>
          </w:p>
        </w:tc>
        <w:tc>
          <w:tcPr>
            <w:tcW w:w="940" w:type="dxa"/>
            <w:vAlign w:val="bottom"/>
            <w:tcBorders>
              <w:bottom w:val="single" w:sz="8" w:color="050F70"/>
              <w:right w:val="single" w:sz="8" w:color="050F70"/>
            </w:tcBorders>
            <w:shd w:val="clear" w:color="auto" w:fill="050F70"/>
          </w:tcPr>
          <w:p>
            <w:pPr>
              <w:spacing w:after="0"/>
              <w:rPr>
                <w:sz w:val="18"/>
                <w:szCs w:val="18"/>
                <w:color w:val="auto"/>
              </w:rPr>
            </w:pPr>
          </w:p>
        </w:tc>
        <w:tc>
          <w:tcPr>
            <w:tcW w:w="1060" w:type="dxa"/>
            <w:vAlign w:val="bottom"/>
            <w:tcBorders>
              <w:bottom w:val="single" w:sz="8" w:color="050F70"/>
              <w:right w:val="single" w:sz="8" w:color="050F70"/>
            </w:tcBorders>
            <w:shd w:val="clear" w:color="auto" w:fill="050F70"/>
          </w:tcPr>
          <w:p>
            <w:pPr>
              <w:spacing w:after="0"/>
              <w:rPr>
                <w:sz w:val="18"/>
                <w:szCs w:val="18"/>
                <w:color w:val="auto"/>
              </w:rPr>
            </w:pPr>
          </w:p>
        </w:tc>
        <w:tc>
          <w:tcPr>
            <w:tcW w:w="1280" w:type="dxa"/>
            <w:vAlign w:val="bottom"/>
            <w:tcBorders>
              <w:bottom w:val="single" w:sz="8" w:color="050F70"/>
              <w:right w:val="single" w:sz="8" w:color="050F70"/>
            </w:tcBorders>
            <w:shd w:val="clear" w:color="auto" w:fill="050F70"/>
          </w:tcPr>
          <w:p>
            <w:pPr>
              <w:spacing w:after="0"/>
              <w:rPr>
                <w:sz w:val="18"/>
                <w:szCs w:val="18"/>
                <w:color w:val="auto"/>
              </w:rPr>
            </w:pPr>
          </w:p>
        </w:tc>
        <w:tc>
          <w:tcPr>
            <w:tcW w:w="1260" w:type="dxa"/>
            <w:vAlign w:val="bottom"/>
            <w:tcBorders>
              <w:bottom w:val="single" w:sz="8" w:color="050F70"/>
              <w:right w:val="single" w:sz="8" w:color="050F70"/>
            </w:tcBorders>
            <w:shd w:val="clear" w:color="auto" w:fill="050F70"/>
          </w:tcPr>
          <w:p>
            <w:pPr>
              <w:spacing w:after="0"/>
              <w:rPr>
                <w:sz w:val="18"/>
                <w:szCs w:val="18"/>
                <w:color w:val="auto"/>
              </w:rPr>
            </w:pPr>
          </w:p>
        </w:tc>
        <w:tc>
          <w:tcPr>
            <w:tcW w:w="1260" w:type="dxa"/>
            <w:vAlign w:val="bottom"/>
            <w:tcBorders>
              <w:bottom w:val="single" w:sz="8" w:color="050F70"/>
              <w:right w:val="single" w:sz="8" w:color="050F70"/>
            </w:tcBorders>
            <w:shd w:val="clear" w:color="auto" w:fill="050F70"/>
          </w:tcPr>
          <w:p>
            <w:pPr>
              <w:spacing w:after="0"/>
              <w:rPr>
                <w:sz w:val="18"/>
                <w:szCs w:val="18"/>
                <w:color w:val="auto"/>
              </w:rPr>
            </w:pPr>
          </w:p>
        </w:tc>
        <w:tc>
          <w:tcPr>
            <w:tcW w:w="1280" w:type="dxa"/>
            <w:vAlign w:val="bottom"/>
            <w:tcBorders>
              <w:bottom w:val="single" w:sz="8" w:color="050F70"/>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r>
      <w:tr>
        <w:trPr>
          <w:trHeight w:val="241"/>
        </w:trPr>
        <w:tc>
          <w:tcPr>
            <w:tcW w:w="194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Neal A. Lux</w:t>
            </w:r>
          </w:p>
        </w:tc>
        <w:tc>
          <w:tcPr>
            <w:tcW w:w="11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right w:val="single" w:sz="8" w:color="auto"/>
            </w:tcBorders>
            <w:shd w:val="clear" w:color="auto" w:fill="CCEEFF"/>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7,983</w:t>
            </w:r>
            <w:r>
              <w:rPr>
                <w:rFonts w:ascii="Times New Roman" w:cs="Times New Roman" w:eastAsia="Times New Roman" w:hAnsi="Times New Roman"/>
                <w:sz w:val="22"/>
                <w:szCs w:val="22"/>
                <w:color w:val="auto"/>
                <w:w w:val="93"/>
                <w:vertAlign w:val="superscript"/>
              </w:rPr>
              <w:t>(2)</w:t>
            </w:r>
          </w:p>
        </w:tc>
        <w:tc>
          <w:tcPr>
            <w:tcW w:w="12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176,983</w:t>
            </w:r>
          </w:p>
        </w:tc>
        <w:tc>
          <w:tcPr>
            <w:tcW w:w="1260" w:type="dxa"/>
            <w:vAlign w:val="bottom"/>
            <w:tcBorders>
              <w:top w:val="single" w:sz="8" w:color="auto"/>
              <w:bottom w:val="single" w:sz="8" w:color="auto"/>
              <w:right w:val="single" w:sz="8" w:color="auto"/>
            </w:tcBorders>
            <w:shd w:val="clear" w:color="auto" w:fill="CCEEFF"/>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15,840</w:t>
            </w:r>
            <w:r>
              <w:rPr>
                <w:rFonts w:ascii="Times New Roman" w:cs="Times New Roman" w:eastAsia="Times New Roman" w:hAnsi="Times New Roman"/>
                <w:sz w:val="22"/>
                <w:szCs w:val="22"/>
                <w:color w:val="auto"/>
                <w:w w:val="93"/>
                <w:vertAlign w:val="superscript"/>
              </w:rPr>
              <w:t>(7)</w:t>
            </w:r>
          </w:p>
        </w:tc>
        <w:tc>
          <w:tcPr>
            <w:tcW w:w="12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351,173</w:t>
            </w: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7,983</w:t>
            </w:r>
            <w:r>
              <w:rPr>
                <w:rFonts w:ascii="Times New Roman" w:cs="Times New Roman" w:eastAsia="Times New Roman" w:hAnsi="Times New Roman"/>
                <w:sz w:val="22"/>
                <w:szCs w:val="22"/>
                <w:color w:val="auto"/>
                <w:w w:val="93"/>
                <w:vertAlign w:val="superscript"/>
              </w:rPr>
              <w:t>(3)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176,983</w:t>
            </w:r>
          </w:p>
        </w:tc>
        <w:tc>
          <w:tcPr>
            <w:tcW w:w="126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5,573</w:t>
            </w:r>
            <w:r>
              <w:rPr>
                <w:rFonts w:ascii="Times New Roman" w:cs="Times New Roman" w:eastAsia="Times New Roman" w:hAnsi="Times New Roman"/>
                <w:sz w:val="22"/>
                <w:szCs w:val="22"/>
                <w:color w:val="auto"/>
                <w:w w:val="93"/>
                <w:vertAlign w:val="superscript"/>
              </w:rPr>
              <w:t>(8)</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617,789</w:t>
            </w: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7"/>
              </w:rPr>
              <w:t>15,839</w:t>
            </w:r>
            <w:r>
              <w:rPr>
                <w:rFonts w:ascii="Times New Roman" w:cs="Times New Roman" w:eastAsia="Times New Roman" w:hAnsi="Times New Roman"/>
                <w:sz w:val="22"/>
                <w:szCs w:val="22"/>
                <w:color w:val="auto"/>
                <w:w w:val="97"/>
                <w:vertAlign w:val="superscript"/>
              </w:rPr>
              <w:t>(4)</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351,151</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7"/>
              </w:rPr>
              <w:t>31,679</w:t>
            </w:r>
            <w:r>
              <w:rPr>
                <w:rFonts w:ascii="Times New Roman" w:cs="Times New Roman" w:eastAsia="Times New Roman" w:hAnsi="Times New Roman"/>
                <w:sz w:val="22"/>
                <w:szCs w:val="22"/>
                <w:color w:val="auto"/>
                <w:w w:val="97"/>
                <w:vertAlign w:val="superscript"/>
              </w:rPr>
              <w:t>(5)</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702,323</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7"/>
              </w:rPr>
              <w:t>41,799</w:t>
            </w:r>
            <w:r>
              <w:rPr>
                <w:rFonts w:ascii="Times New Roman" w:cs="Times New Roman" w:eastAsia="Times New Roman" w:hAnsi="Times New Roman"/>
                <w:sz w:val="22"/>
                <w:szCs w:val="22"/>
                <w:color w:val="auto"/>
                <w:w w:val="97"/>
                <w:vertAlign w:val="superscript"/>
              </w:rPr>
              <w:t>(6)</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926,684</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1"/>
        </w:trPr>
        <w:tc>
          <w:tcPr>
            <w:tcW w:w="1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41"/>
        </w:trPr>
        <w:tc>
          <w:tcPr>
            <w:tcW w:w="1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 Lyle Williams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758</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$373.60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2/21/2025</w:t>
            </w:r>
          </w:p>
        </w:tc>
        <w:tc>
          <w:tcPr>
            <w:tcW w:w="12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7,983</w:t>
            </w:r>
            <w:r>
              <w:rPr>
                <w:rFonts w:ascii="Times New Roman" w:cs="Times New Roman" w:eastAsia="Times New Roman" w:hAnsi="Times New Roman"/>
                <w:sz w:val="22"/>
                <w:szCs w:val="22"/>
                <w:color w:val="auto"/>
                <w:w w:val="93"/>
                <w:vertAlign w:val="superscript"/>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176,983</w:t>
            </w:r>
          </w:p>
        </w:tc>
        <w:tc>
          <w:tcPr>
            <w:tcW w:w="126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8,800</w:t>
            </w:r>
            <w:r>
              <w:rPr>
                <w:rFonts w:ascii="Times New Roman" w:cs="Times New Roman" w:eastAsia="Times New Roman" w:hAnsi="Times New Roman"/>
                <w:sz w:val="22"/>
                <w:szCs w:val="22"/>
                <w:color w:val="auto"/>
                <w:w w:val="93"/>
                <w:vertAlign w:val="superscript"/>
              </w:rPr>
              <w:t>(7)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195,096</w:t>
            </w:r>
          </w:p>
        </w:tc>
      </w:tr>
      <w:tr>
        <w:trPr>
          <w:trHeight w:val="241"/>
        </w:trPr>
        <w:tc>
          <w:tcPr>
            <w:tcW w:w="194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1,645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$187.80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2/19/2026</w:t>
            </w:r>
          </w:p>
        </w:tc>
        <w:tc>
          <w:tcPr>
            <w:tcW w:w="12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7,983</w:t>
            </w:r>
            <w:r>
              <w:rPr>
                <w:rFonts w:ascii="Times New Roman" w:cs="Times New Roman" w:eastAsia="Times New Roman" w:hAnsi="Times New Roman"/>
                <w:sz w:val="22"/>
                <w:szCs w:val="22"/>
                <w:color w:val="auto"/>
                <w:w w:val="93"/>
                <w:vertAlign w:val="superscript"/>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176,983</w:t>
            </w:r>
          </w:p>
        </w:tc>
        <w:tc>
          <w:tcPr>
            <w:tcW w:w="126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2,734</w:t>
            </w:r>
            <w:r>
              <w:rPr>
                <w:rFonts w:ascii="Times New Roman" w:cs="Times New Roman" w:eastAsia="Times New Roman" w:hAnsi="Times New Roman"/>
                <w:sz w:val="22"/>
                <w:szCs w:val="22"/>
                <w:color w:val="auto"/>
                <w:w w:val="93"/>
                <w:vertAlign w:val="superscript"/>
              </w:rPr>
              <w:t>(8)</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303,064</w:t>
            </w:r>
          </w:p>
        </w:tc>
      </w:tr>
      <w:tr>
        <w:trPr>
          <w:trHeight w:val="241"/>
        </w:trPr>
        <w:tc>
          <w:tcPr>
            <w:tcW w:w="194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707</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$402.00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2/20/2027</w:t>
            </w:r>
          </w:p>
        </w:tc>
        <w:tc>
          <w:tcPr>
            <w:tcW w:w="12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8,800</w:t>
            </w:r>
            <w:r>
              <w:rPr>
                <w:rFonts w:ascii="Times New Roman" w:cs="Times New Roman" w:eastAsia="Times New Roman" w:hAnsi="Times New Roman"/>
                <w:sz w:val="22"/>
                <w:szCs w:val="22"/>
                <w:color w:val="auto"/>
                <w:w w:val="93"/>
                <w:vertAlign w:val="superscript"/>
              </w:rPr>
              <w:t>(4)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195,096</w:t>
            </w:r>
          </w:p>
        </w:tc>
        <w:tc>
          <w:tcPr>
            <w:tcW w:w="12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41"/>
        </w:trPr>
        <w:tc>
          <w:tcPr>
            <w:tcW w:w="194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1,499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2/16/2028</w:t>
            </w:r>
          </w:p>
        </w:tc>
        <w:tc>
          <w:tcPr>
            <w:tcW w:w="12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7"/>
              </w:rPr>
              <w:t>17,600</w:t>
            </w:r>
            <w:r>
              <w:rPr>
                <w:rFonts w:ascii="Times New Roman" w:cs="Times New Roman" w:eastAsia="Times New Roman" w:hAnsi="Times New Roman"/>
                <w:sz w:val="22"/>
                <w:szCs w:val="22"/>
                <w:color w:val="auto"/>
                <w:w w:val="97"/>
                <w:vertAlign w:val="superscript"/>
              </w:rPr>
              <w:t>(5)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390,192</w:t>
            </w:r>
          </w:p>
        </w:tc>
        <w:tc>
          <w:tcPr>
            <w:tcW w:w="12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7"/>
                <w:szCs w:val="17"/>
                <w:color w:val="auto"/>
                <w:w w:val="97"/>
              </w:rPr>
              <w:t>20,500</w:t>
            </w:r>
            <w:r>
              <w:rPr>
                <w:rFonts w:ascii="Times New Roman" w:cs="Times New Roman" w:eastAsia="Times New Roman" w:hAnsi="Times New Roman"/>
                <w:sz w:val="22"/>
                <w:szCs w:val="22"/>
                <w:color w:val="auto"/>
                <w:w w:val="97"/>
                <w:vertAlign w:val="superscript"/>
              </w:rPr>
              <w:t>(6)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454,596</w:t>
            </w: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41"/>
        </w:trPr>
        <w:tc>
          <w:tcPr>
            <w:tcW w:w="19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John C. Ivascu</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355</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$278.40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8/27/2025</w:t>
            </w:r>
          </w:p>
        </w:tc>
        <w:tc>
          <w:tcPr>
            <w:tcW w:w="1280" w:type="dxa"/>
            <w:vAlign w:val="bottom"/>
            <w:tcBorders>
              <w:bottom w:val="single" w:sz="8" w:color="auto"/>
              <w:right w:val="single" w:sz="8" w:color="auto"/>
            </w:tcBorders>
            <w:shd w:val="clear" w:color="auto" w:fill="CCEEFF"/>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5,322</w:t>
            </w:r>
            <w:r>
              <w:rPr>
                <w:rFonts w:ascii="Times New Roman" w:cs="Times New Roman" w:eastAsia="Times New Roman" w:hAnsi="Times New Roman"/>
                <w:sz w:val="22"/>
                <w:szCs w:val="22"/>
                <w:color w:val="auto"/>
                <w:w w:val="93"/>
                <w:vertAlign w:val="superscript"/>
              </w:rPr>
              <w:t>(2)</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117,989</w:t>
            </w:r>
          </w:p>
        </w:tc>
        <w:tc>
          <w:tcPr>
            <w:tcW w:w="1260" w:type="dxa"/>
            <w:vAlign w:val="bottom"/>
            <w:tcBorders>
              <w:bottom w:val="single" w:sz="8" w:color="auto"/>
              <w:right w:val="single" w:sz="8" w:color="auto"/>
            </w:tcBorders>
            <w:shd w:val="clear" w:color="auto" w:fill="CCEEFF"/>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5,720</w:t>
            </w:r>
            <w:r>
              <w:rPr>
                <w:rFonts w:ascii="Times New Roman" w:cs="Times New Roman" w:eastAsia="Times New Roman" w:hAnsi="Times New Roman"/>
                <w:sz w:val="22"/>
                <w:szCs w:val="22"/>
                <w:color w:val="auto"/>
                <w:w w:val="93"/>
                <w:vertAlign w:val="superscript"/>
              </w:rPr>
              <w:t>(7)</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126,812</w:t>
            </w: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5,322</w:t>
            </w:r>
            <w:r>
              <w:rPr>
                <w:rFonts w:ascii="Times New Roman" w:cs="Times New Roman" w:eastAsia="Times New Roman" w:hAnsi="Times New Roman"/>
                <w:sz w:val="22"/>
                <w:szCs w:val="22"/>
                <w:color w:val="auto"/>
                <w:w w:val="93"/>
                <w:vertAlign w:val="superscript"/>
              </w:rPr>
              <w:t>(3)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117,989</w:t>
            </w:r>
          </w:p>
        </w:tc>
        <w:tc>
          <w:tcPr>
            <w:tcW w:w="126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1,577</w:t>
            </w:r>
            <w:r>
              <w:rPr>
                <w:rFonts w:ascii="Times New Roman" w:cs="Times New Roman" w:eastAsia="Times New Roman" w:hAnsi="Times New Roman"/>
                <w:sz w:val="22"/>
                <w:szCs w:val="22"/>
                <w:color w:val="auto"/>
                <w:w w:val="93"/>
                <w:vertAlign w:val="superscript"/>
              </w:rPr>
              <w:t>(8)</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174,833</w:t>
            </w: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5,720</w:t>
            </w:r>
            <w:r>
              <w:rPr>
                <w:rFonts w:ascii="Times New Roman" w:cs="Times New Roman" w:eastAsia="Times New Roman" w:hAnsi="Times New Roman"/>
                <w:sz w:val="22"/>
                <w:szCs w:val="22"/>
                <w:color w:val="auto"/>
                <w:w w:val="93"/>
                <w:vertAlign w:val="superscript"/>
              </w:rPr>
              <w:t>(4)</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126,812</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11,440</w:t>
            </w:r>
            <w:r>
              <w:rPr>
                <w:rFonts w:ascii="Times New Roman" w:cs="Times New Roman" w:eastAsia="Times New Roman" w:hAnsi="Times New Roman"/>
                <w:sz w:val="22"/>
                <w:szCs w:val="22"/>
                <w:color w:val="auto"/>
                <w:w w:val="93"/>
                <w:vertAlign w:val="superscript"/>
              </w:rPr>
              <w:t>(5)</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253,625</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5"/>
        </w:trPr>
        <w:tc>
          <w:tcPr>
            <w:tcW w:w="1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center"/>
              <w:spacing w:after="0" w:line="214" w:lineRule="exact"/>
              <w:rPr>
                <w:sz w:val="20"/>
                <w:szCs w:val="20"/>
                <w:color w:val="auto"/>
              </w:rPr>
            </w:pPr>
            <w:r>
              <w:rPr>
                <w:rFonts w:ascii="Times New Roman" w:cs="Times New Roman" w:eastAsia="Times New Roman" w:hAnsi="Times New Roman"/>
                <w:sz w:val="17"/>
                <w:szCs w:val="17"/>
                <w:color w:val="auto"/>
                <w:w w:val="93"/>
              </w:rPr>
              <w:t>11,830</w:t>
            </w:r>
            <w:r>
              <w:rPr>
                <w:rFonts w:ascii="Times New Roman" w:cs="Times New Roman" w:eastAsia="Times New Roman" w:hAnsi="Times New Roman"/>
                <w:sz w:val="22"/>
                <w:szCs w:val="22"/>
                <w:color w:val="auto"/>
                <w:w w:val="93"/>
                <w:vertAlign w:val="superscript"/>
              </w:rPr>
              <w:t>(6)</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262,271</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1"/>
        </w:trPr>
        <w:tc>
          <w:tcPr>
            <w:tcW w:w="1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173" w:lineRule="exact"/>
        <w:rPr>
          <w:sz w:val="20"/>
          <w:szCs w:val="20"/>
          <w:color w:val="auto"/>
        </w:rPr>
      </w:pPr>
    </w:p>
    <w:p>
      <w:pPr>
        <w:ind w:left="320" w:right="20" w:hanging="316"/>
        <w:spacing w:after="0" w:line="284" w:lineRule="auto"/>
        <w:tabs>
          <w:tab w:leader="none" w:pos="34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were calculated by assuming a market value of our common stock of $22.17 per share, the closing price of our common stock on December 29, 2023, the last trading day of 2023.</w:t>
      </w:r>
    </w:p>
    <w:p>
      <w:pPr>
        <w:spacing w:after="0" w:line="62"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that vested on February 19, 2024.</w:t>
      </w:r>
    </w:p>
    <w:p>
      <w:pPr>
        <w:spacing w:after="0" w:line="100"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Phantom stock units that vested and settled in cash on February 19, 2024.</w:t>
      </w:r>
    </w:p>
    <w:p>
      <w:pPr>
        <w:spacing w:after="0" w:line="113" w:lineRule="exact"/>
        <w:rPr>
          <w:rFonts w:ascii="Times New Roman" w:cs="Times New Roman" w:eastAsia="Times New Roman" w:hAnsi="Times New Roman"/>
          <w:sz w:val="14"/>
          <w:szCs w:val="14"/>
          <w:color w:val="auto"/>
        </w:rPr>
      </w:pPr>
    </w:p>
    <w:p>
      <w:pPr>
        <w:ind w:left="320" w:right="20" w:hanging="316"/>
        <w:spacing w:after="0" w:line="284" w:lineRule="auto"/>
        <w:tabs>
          <w:tab w:leader="none" w:pos="3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cash-settled phantom stock units granted on February 19, 2021 that vested on February 19, 2024 following achievement on March 21, 2023 of a minimum stock price threshold of $23.49 for total of 20 trading days during the period from February 19, 2023 through February 19, 2024.</w:t>
      </w:r>
    </w:p>
    <w:p>
      <w:pPr>
        <w:spacing w:after="0" w:line="62"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that vest in two equal annual installments on February 18, 2024 and February 18, 2025.</w:t>
      </w:r>
    </w:p>
    <w:p>
      <w:pPr>
        <w:spacing w:after="0" w:line="113"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that vest in three equal annual installments on February 17, 2024, February 17, 2025 and February 17, 2026.</w:t>
      </w:r>
    </w:p>
    <w:p>
      <w:pPr>
        <w:spacing w:after="0" w:line="100" w:lineRule="exact"/>
        <w:rPr>
          <w:rFonts w:ascii="Times New Roman" w:cs="Times New Roman" w:eastAsia="Times New Roman" w:hAnsi="Times New Roman"/>
          <w:sz w:val="14"/>
          <w:szCs w:val="14"/>
          <w:color w:val="auto"/>
        </w:rPr>
      </w:pPr>
    </w:p>
    <w:p>
      <w:pPr>
        <w:jc w:val="both"/>
        <w:ind w:left="320" w:right="20" w:hanging="316"/>
        <w:spacing w:after="0" w:line="268" w:lineRule="auto"/>
        <w:tabs>
          <w:tab w:leader="none" w:pos="36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February 18, 2022 that are expected to be settled on February 18, 2025, subject to achievement of a minimum stock price threshold of $23.68, which was 125% of the Company’s closing stock price on the grant date, for a total of 20 trading days during the period from February 18, 2024 through February 18, 2025. The Performance RSUs will be forfeited upon a termination of employment prior to vesting, except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60"/>
          </w:cols>
          <w:pgMar w:left="320" w:top="1361" w:right="319" w:bottom="1440" w:gutter="0" w:footer="0" w:header="0"/>
        </w:sectPr>
      </w:pPr>
    </w:p>
    <w:bookmarkStart w:id="47" w:name="page48"/>
    <w:bookmarkEnd w:id="47"/>
    <w:p>
      <w:pPr>
        <w:spacing w:after="0" w:line="35" w:lineRule="exact"/>
        <w:rPr>
          <w:sz w:val="20"/>
          <w:szCs w:val="20"/>
          <w:color w:val="auto"/>
        </w:rPr>
      </w:pPr>
    </w:p>
    <w:p>
      <w:pPr>
        <w:jc w:val="both"/>
        <w:ind w:left="320" w:hanging="316"/>
        <w:spacing w:after="0" w:line="268" w:lineRule="auto"/>
        <w:tabs>
          <w:tab w:leader="none" w:pos="4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February 17, 2023 that are eligible to become earned in two equal tranches following the conclusion of performance periods ending December 31, 2024 and December 31, 2025, in each case, subject to the Company's absolute and relative TSR achievement. The amount reflected herein is based on achievement at 20% of target (the lowest payout level above 0%), as required by SEC rules.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36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0" w:lineRule="exact"/>
        <w:rPr>
          <w:sz w:val="20"/>
          <w:szCs w:val="20"/>
          <w:color w:val="auto"/>
        </w:rPr>
      </w:pPr>
    </w:p>
    <w:p>
      <w:pPr>
        <w:ind w:firstLine="470"/>
        <w:spacing w:after="0" w:line="267" w:lineRule="auto"/>
        <w:rPr>
          <w:sz w:val="20"/>
          <w:szCs w:val="20"/>
          <w:color w:val="auto"/>
        </w:rPr>
      </w:pPr>
      <w:r>
        <w:rPr>
          <w:rFonts w:ascii="Times New Roman" w:cs="Times New Roman" w:eastAsia="Times New Roman" w:hAnsi="Times New Roman"/>
          <w:sz w:val="17"/>
          <w:szCs w:val="17"/>
          <w:color w:val="auto"/>
        </w:rPr>
        <w:t>Each NEO is a party to a severance agreement with us. Under these severance agreements, in the event an NEO’s employment is terminated by us without “Cause” (and not as a result of death or disability) or by the NEO for “Good Reason,” the NEO will be entitled to receive the following benefits:</w:t>
      </w:r>
    </w:p>
    <w:p>
      <w:pPr>
        <w:spacing w:after="0" w:line="22" w:lineRule="exact"/>
        <w:rPr>
          <w:sz w:val="20"/>
          <w:szCs w:val="20"/>
          <w:color w:val="auto"/>
        </w:rPr>
      </w:pPr>
    </w:p>
    <w:p>
      <w:pPr>
        <w:jc w:val="both"/>
        <w:ind w:left="640" w:hanging="322"/>
        <w:spacing w:after="0" w:line="24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A lump sum payment of an amount equal to two (or three if the termination is within two years after a change in control) multiplied by the sum of (A) the NEO’s annual base salary at the time of the termination plus (B) the NEO’s annual base salary multiplied by the NEO’s highest target bonus opportunity in the year of termination or the two preceding years;</w:t>
      </w:r>
    </w:p>
    <w:p>
      <w:pPr>
        <w:spacing w:after="0" w:line="22" w:lineRule="exact"/>
        <w:rPr>
          <w:rFonts w:ascii="Arial" w:cs="Arial" w:eastAsia="Arial" w:hAnsi="Arial"/>
          <w:sz w:val="21"/>
          <w:szCs w:val="21"/>
          <w:color w:val="auto"/>
        </w:rPr>
      </w:pPr>
    </w:p>
    <w:p>
      <w:pPr>
        <w:ind w:left="64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A lump sum payment of an amount equal to the NEO’s unpaid bonus for the prior calendar year, if any, payable at the same time such bonus is paid to active executives;</w:t>
      </w:r>
    </w:p>
    <w:p>
      <w:pPr>
        <w:spacing w:after="0" w:line="21" w:lineRule="exact"/>
        <w:rPr>
          <w:rFonts w:ascii="Arial" w:cs="Arial" w:eastAsia="Arial" w:hAnsi="Arial"/>
          <w:sz w:val="21"/>
          <w:szCs w:val="21"/>
          <w:color w:val="auto"/>
        </w:rPr>
      </w:pPr>
    </w:p>
    <w:p>
      <w:pPr>
        <w:ind w:left="64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A lump sum payment of an amount equal to the NEO’s bonus for the calendar year in which such termination occurs, if any, based on the applicable performance criteria, prorated through and including the date of termination, payable at the same time as such bonus is paid to active executives; and</w:t>
      </w:r>
    </w:p>
    <w:p>
      <w:pPr>
        <w:spacing w:after="0" w:line="21" w:lineRule="exact"/>
        <w:rPr>
          <w:rFonts w:ascii="Arial" w:cs="Arial" w:eastAsia="Arial" w:hAnsi="Arial"/>
          <w:sz w:val="21"/>
          <w:szCs w:val="21"/>
          <w:color w:val="auto"/>
        </w:rPr>
      </w:pPr>
    </w:p>
    <w:p>
      <w:pPr>
        <w:ind w:left="640" w:hanging="322"/>
        <w:spacing w:after="0" w:line="25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If the NEO elects COBRA continuation coverage for himself and his eligible dependents, monthly reimbursement of the differential between the COBRA premium and the active executive contribution amount for such coverage under the Company’s group health plans for up to eighteen months.</w:t>
      </w:r>
    </w:p>
    <w:p>
      <w:pPr>
        <w:spacing w:after="0" w:line="7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Our severance agreements as a matter of policy do not provide for excise tax protections in the event of a change in control. The severance agreements provide that any payments or benefits to which the NEO may be entitled (whether under the agreement or otherwise), which would be subject to a parachute payment excise tax under Section 4999 of the Code will be reduced to an amount that would no longer create a parachute payment or be paid in full, whichever produces the better net after-tax position for the NEO. If the NEO is terminated for any reason other than those described above, the NEO will continue to receive his compensation and benefits through the date of termination, and the compensation and benefits will terminate contemporaneously with the termination of his employment. Under the terms of the severance agreements, subject to certain exceptions, the NEO’s may not compete in the market in which we and our respective affiliates engage during the NEO’s employment and for two years following the termination thereof.</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used in the severance agreements:</w:t>
      </w:r>
    </w:p>
    <w:p>
      <w:pPr>
        <w:spacing w:after="0" w:line="38" w:lineRule="exact"/>
        <w:rPr>
          <w:sz w:val="20"/>
          <w:szCs w:val="20"/>
          <w:color w:val="auto"/>
        </w:rPr>
      </w:pPr>
    </w:p>
    <w:p>
      <w:pPr>
        <w:ind w:left="620" w:hanging="302"/>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“Cause” generally occurs when the NEO has (1) engaged in gross negligence or willful misconduct in the performance of his duties with respect to us,</w:t>
      </w:r>
    </w:p>
    <w:p>
      <w:pPr>
        <w:spacing w:after="0" w:line="1" w:lineRule="exact"/>
        <w:rPr>
          <w:rFonts w:ascii="Arial" w:cs="Arial" w:eastAsia="Arial" w:hAnsi="Arial"/>
          <w:sz w:val="21"/>
          <w:szCs w:val="21"/>
          <w:color w:val="auto"/>
        </w:rPr>
      </w:pPr>
    </w:p>
    <w:p>
      <w:pPr>
        <w:jc w:val="both"/>
        <w:ind w:left="640" w:hanging="9"/>
        <w:spacing w:after="0" w:line="255" w:lineRule="auto"/>
        <w:tabs>
          <w:tab w:leader="none" w:pos="90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breached any material provision of his agreement or any written corporate policy, (3) willfully engaged in conduct that is materially injurious to us or (4) been convicted of, pleaded no contest to or received adjudicated probation or deferred adjudication in connection with a felony involving fraud, dishonesty or moral turpitude.</w:t>
      </w:r>
    </w:p>
    <w:p>
      <w:pPr>
        <w:spacing w:after="0" w:line="22" w:lineRule="exact"/>
        <w:rPr>
          <w:rFonts w:ascii="Times New Roman" w:cs="Times New Roman" w:eastAsia="Times New Roman" w:hAnsi="Times New Roman"/>
          <w:sz w:val="17"/>
          <w:szCs w:val="17"/>
          <w:color w:val="auto"/>
        </w:rPr>
      </w:pPr>
    </w:p>
    <w:p>
      <w:pPr>
        <w:jc w:val="both"/>
        <w:ind w:left="640" w:hanging="322"/>
        <w:spacing w:after="0" w:line="249"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“Good Reason” generally means any of the following events: (1) a material decrease in annual base salary (other than as part of a decrease of up to 10% for all of our executive officers); (2) a material diminution in the executive’s authority, duties or responsibilities (other than certain changes in management structure primarily affecting reporting responsibility); or (3) an involuntary relocation of the geographic location of the executive’s principal place of employment by more than 75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b w:val="1"/>
          <w:bCs w:val="1"/>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5" w:lineRule="exact"/>
        <w:rPr>
          <w:sz w:val="20"/>
          <w:szCs w:val="20"/>
          <w:color w:val="auto"/>
        </w:rPr>
      </w:pPr>
    </w:p>
    <w:p>
      <w:pPr>
        <w:jc w:val="both"/>
        <w:ind w:right="100" w:firstLine="470"/>
        <w:spacing w:after="0" w:line="253" w:lineRule="auto"/>
        <w:rPr>
          <w:sz w:val="20"/>
          <w:szCs w:val="20"/>
          <w:color w:val="auto"/>
        </w:rPr>
      </w:pPr>
      <w:r>
        <w:rPr>
          <w:rFonts w:ascii="Times New Roman" w:cs="Times New Roman" w:eastAsia="Times New Roman" w:hAnsi="Times New Roman"/>
          <w:sz w:val="17"/>
          <w:szCs w:val="17"/>
          <w:color w:val="auto"/>
        </w:rPr>
        <w:t>Our 401(k) Plan is designed to allow all employees, including the participating NEOs, to contribute on a pre-tax or Roth after-tax basis. Each participant may elect to contribute up to 75% of his or her compensation to the 401(k) Plan as pre-tax or Roth after-tax contributions (but limited by the statutory maximum of $22,500 for 2023). Additionally, participants age 50 years and older may make a “catch-up contribution” to the 401(k) Plan each year up to an amount set by statute ($7,500 for 2023).</w:t>
      </w:r>
    </w:p>
    <w:p>
      <w:pPr>
        <w:spacing w:after="0" w:line="194" w:lineRule="exact"/>
        <w:rPr>
          <w:sz w:val="20"/>
          <w:szCs w:val="20"/>
          <w:color w:val="auto"/>
        </w:rPr>
      </w:pPr>
    </w:p>
    <w:p>
      <w:pPr>
        <w:jc w:val="both"/>
        <w:ind w:right="100" w:firstLine="470"/>
        <w:spacing w:after="0" w:line="246" w:lineRule="auto"/>
        <w:rPr>
          <w:sz w:val="20"/>
          <w:szCs w:val="20"/>
          <w:color w:val="auto"/>
        </w:rPr>
      </w:pPr>
      <w:r>
        <w:rPr>
          <w:rFonts w:ascii="Times New Roman" w:cs="Times New Roman" w:eastAsia="Times New Roman" w:hAnsi="Times New Roman"/>
          <w:sz w:val="17"/>
          <w:szCs w:val="17"/>
          <w:color w:val="auto"/>
        </w:rPr>
        <w:t>We have the discretion to provide a profit-sharing contribution to each participant depending on the Company’s performance for the applicable year. There were no profit-sharing contributions made in 2023. During 2023, we matched 100% of each employee’s (including the NEO’s) contributions up to 3% of cash compensation deferred and 50% of each employee’s (including the NEO’s) contributions up to the next 2% of cash compensation deferred. Effective January 1, 2024, we increased our matching contribution to 100% of the first 3% of covered compensation deferred and 50% of the next 4% of covered cash compensation deferred.</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also provide medical, dental and vision coverage to all of our full-time employees, as well as basic life and disability coverage.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0" w:lineRule="exact"/>
        <w:rPr>
          <w:sz w:val="20"/>
          <w:szCs w:val="20"/>
          <w:color w:val="auto"/>
        </w:rPr>
      </w:pPr>
    </w:p>
    <w:p>
      <w:pPr>
        <w:ind w:right="240" w:firstLine="470"/>
        <w:spacing w:after="0" w:line="279" w:lineRule="auto"/>
        <w:rPr>
          <w:sz w:val="20"/>
          <w:szCs w:val="20"/>
          <w:color w:val="auto"/>
        </w:rPr>
      </w:pPr>
      <w:r>
        <w:rPr>
          <w:rFonts w:ascii="Times New Roman" w:cs="Times New Roman" w:eastAsia="Times New Roman" w:hAnsi="Times New Roman"/>
          <w:sz w:val="17"/>
          <w:szCs w:val="17"/>
          <w:color w:val="auto"/>
        </w:rPr>
        <w:t>The following table sets forth information about our common stock that may be issued under our existing equity compensation plans as of December 31, 2023 (i.e., prior to the requested share increase under Proposal No. 3).</w:t>
      </w:r>
    </w:p>
    <w:p>
      <w:pPr>
        <w:spacing w:after="0" w:line="210" w:lineRule="exact"/>
        <w:rPr>
          <w:sz w:val="20"/>
          <w:szCs w:val="20"/>
          <w:color w:val="auto"/>
        </w:rPr>
      </w:pPr>
    </w:p>
    <w:tbl>
      <w:tblPr>
        <w:tblLayout w:type="fixed"/>
        <w:tblInd w:w="490" w:type="dxa"/>
        <w:tblCellMar>
          <w:top w:w="0" w:type="dxa"/>
          <w:left w:w="0" w:type="dxa"/>
          <w:bottom w:w="0" w:type="dxa"/>
          <w:right w:w="0" w:type="dxa"/>
        </w:tblCellMar>
      </w:tblPr>
      <w:tr>
        <w:trPr>
          <w:trHeight w:val="180"/>
        </w:trPr>
        <w:tc>
          <w:tcPr>
            <w:tcW w:w="4320" w:type="dxa"/>
            <w:vAlign w:val="bottom"/>
            <w:tcBorders>
              <w:top w:val="single" w:sz="8" w:color="auto"/>
              <w:left w:val="single" w:sz="8" w:color="auto"/>
            </w:tcBorders>
            <w:shd w:val="clear" w:color="auto" w:fill="051E68"/>
          </w:tcPr>
          <w:p>
            <w:pPr>
              <w:spacing w:after="0"/>
              <w:rPr>
                <w:sz w:val="15"/>
                <w:szCs w:val="15"/>
                <w:color w:val="auto"/>
              </w:rPr>
            </w:pPr>
          </w:p>
        </w:tc>
        <w:tc>
          <w:tcPr>
            <w:tcW w:w="2420" w:type="dxa"/>
            <w:vAlign w:val="bottom"/>
            <w:tcBorders>
              <w:top w:val="single" w:sz="8" w:color="auto"/>
            </w:tcBorders>
            <w:shd w:val="clear" w:color="auto" w:fill="051E68"/>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FFFFFF"/>
              </w:rPr>
              <w:t>Number of Securities to be Issued</w:t>
            </w:r>
          </w:p>
        </w:tc>
        <w:tc>
          <w:tcPr>
            <w:tcW w:w="2520" w:type="dxa"/>
            <w:vAlign w:val="bottom"/>
            <w:tcBorders>
              <w:top w:val="single" w:sz="8" w:color="auto"/>
            </w:tcBorders>
            <w:shd w:val="clear" w:color="auto" w:fill="051E68"/>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FFFFFF"/>
              </w:rPr>
              <w:t>Weighted Average Exercise Price</w:t>
            </w:r>
          </w:p>
        </w:tc>
        <w:tc>
          <w:tcPr>
            <w:tcW w:w="1600" w:type="dxa"/>
            <w:vAlign w:val="bottom"/>
            <w:tcBorders>
              <w:top w:val="single" w:sz="8" w:color="auto"/>
            </w:tcBorders>
            <w:shd w:val="clear" w:color="auto" w:fill="051E68"/>
          </w:tcPr>
          <w:p>
            <w:pPr>
              <w:jc w:val="center"/>
              <w:ind w:left="197"/>
              <w:spacing w:after="0" w:line="180" w:lineRule="exact"/>
              <w:rPr>
                <w:sz w:val="20"/>
                <w:szCs w:val="20"/>
                <w:color w:val="auto"/>
              </w:rPr>
            </w:pPr>
            <w:r>
              <w:rPr>
                <w:rFonts w:ascii="Times New Roman" w:cs="Times New Roman" w:eastAsia="Times New Roman" w:hAnsi="Times New Roman"/>
                <w:sz w:val="16"/>
                <w:szCs w:val="16"/>
                <w:b w:val="1"/>
                <w:bCs w:val="1"/>
                <w:color w:val="FFFFFF"/>
                <w:w w:val="97"/>
              </w:rPr>
              <w:t>Number of Securiti</w:t>
            </w:r>
          </w:p>
        </w:tc>
      </w:tr>
      <w:tr>
        <w:trPr>
          <w:trHeight w:val="170"/>
        </w:trPr>
        <w:tc>
          <w:tcPr>
            <w:tcW w:w="4320" w:type="dxa"/>
            <w:vAlign w:val="bottom"/>
            <w:tcBorders>
              <w:left w:val="single" w:sz="8" w:color="auto"/>
            </w:tcBorders>
            <w:shd w:val="clear" w:color="auto" w:fill="051E68"/>
          </w:tcPr>
          <w:p>
            <w:pPr>
              <w:spacing w:after="0"/>
              <w:rPr>
                <w:sz w:val="14"/>
                <w:szCs w:val="14"/>
                <w:color w:val="auto"/>
              </w:rPr>
            </w:pPr>
          </w:p>
        </w:tc>
        <w:tc>
          <w:tcPr>
            <w:tcW w:w="2420" w:type="dxa"/>
            <w:vAlign w:val="bottom"/>
            <w:shd w:val="clear" w:color="auto" w:fill="051E68"/>
          </w:tcPr>
          <w:p>
            <w:pPr>
              <w:ind w:left="180"/>
              <w:spacing w:after="0" w:line="170" w:lineRule="exact"/>
              <w:rPr>
                <w:sz w:val="20"/>
                <w:szCs w:val="20"/>
                <w:color w:val="auto"/>
              </w:rPr>
            </w:pPr>
            <w:r>
              <w:rPr>
                <w:rFonts w:ascii="Times New Roman" w:cs="Times New Roman" w:eastAsia="Times New Roman" w:hAnsi="Times New Roman"/>
                <w:sz w:val="16"/>
                <w:szCs w:val="16"/>
                <w:b w:val="1"/>
                <w:bCs w:val="1"/>
                <w:color w:val="FFFFFF"/>
              </w:rPr>
              <w:t>upon Exercise of Outstanding</w:t>
            </w:r>
          </w:p>
        </w:tc>
        <w:tc>
          <w:tcPr>
            <w:tcW w:w="2520" w:type="dxa"/>
            <w:vAlign w:val="bottom"/>
            <w:shd w:val="clear" w:color="auto" w:fill="051E68"/>
          </w:tcPr>
          <w:p>
            <w:pPr>
              <w:jc w:val="center"/>
              <w:ind w:right="17"/>
              <w:spacing w:after="0" w:line="170" w:lineRule="exact"/>
              <w:rPr>
                <w:sz w:val="20"/>
                <w:szCs w:val="20"/>
                <w:color w:val="auto"/>
              </w:rPr>
            </w:pPr>
            <w:r>
              <w:rPr>
                <w:rFonts w:ascii="Times New Roman" w:cs="Times New Roman" w:eastAsia="Times New Roman" w:hAnsi="Times New Roman"/>
                <w:sz w:val="16"/>
                <w:szCs w:val="16"/>
                <w:b w:val="1"/>
                <w:bCs w:val="1"/>
                <w:color w:val="FFFFFF"/>
                <w:w w:val="97"/>
              </w:rPr>
              <w:t>of Outstanding Options, Warrants</w:t>
            </w:r>
          </w:p>
        </w:tc>
        <w:tc>
          <w:tcPr>
            <w:tcW w:w="1600" w:type="dxa"/>
            <w:vAlign w:val="bottom"/>
            <w:shd w:val="clear" w:color="auto" w:fill="051E68"/>
          </w:tcPr>
          <w:p>
            <w:pPr>
              <w:ind w:left="140"/>
              <w:spacing w:after="0" w:line="170" w:lineRule="exact"/>
              <w:rPr>
                <w:sz w:val="20"/>
                <w:szCs w:val="20"/>
                <w:color w:val="auto"/>
              </w:rPr>
            </w:pPr>
            <w:r>
              <w:rPr>
                <w:rFonts w:ascii="Times New Roman" w:cs="Times New Roman" w:eastAsia="Times New Roman" w:hAnsi="Times New Roman"/>
                <w:sz w:val="16"/>
                <w:szCs w:val="16"/>
                <w:b w:val="1"/>
                <w:bCs w:val="1"/>
                <w:color w:val="FFFFFF"/>
                <w:w w:val="94"/>
              </w:rPr>
              <w:t>Remaining Available f</w:t>
            </w:r>
          </w:p>
        </w:tc>
      </w:tr>
      <w:tr>
        <w:trPr>
          <w:trHeight w:val="238"/>
        </w:trPr>
        <w:tc>
          <w:tcPr>
            <w:tcW w:w="4320" w:type="dxa"/>
            <w:vAlign w:val="bottom"/>
            <w:tcBorders>
              <w:left w:val="single" w:sz="8" w:color="auto"/>
            </w:tcBorders>
            <w:shd w:val="clear" w:color="auto" w:fill="051E68"/>
          </w:tcPr>
          <w:p>
            <w:pPr>
              <w:ind w:left="1660"/>
              <w:spacing w:after="0"/>
              <w:rPr>
                <w:sz w:val="20"/>
                <w:szCs w:val="20"/>
                <w:color w:val="auto"/>
              </w:rPr>
            </w:pPr>
            <w:r>
              <w:rPr>
                <w:rFonts w:ascii="Times New Roman" w:cs="Times New Roman" w:eastAsia="Times New Roman" w:hAnsi="Times New Roman"/>
                <w:sz w:val="16"/>
                <w:szCs w:val="16"/>
                <w:b w:val="1"/>
                <w:bCs w:val="1"/>
                <w:color w:val="FFFFFF"/>
              </w:rPr>
              <w:t>Plan Category</w:t>
            </w:r>
          </w:p>
        </w:tc>
        <w:tc>
          <w:tcPr>
            <w:tcW w:w="2420" w:type="dxa"/>
            <w:vAlign w:val="bottom"/>
            <w:shd w:val="clear" w:color="auto" w:fill="051E68"/>
          </w:tcPr>
          <w:p>
            <w:pPr>
              <w:ind w:left="160"/>
              <w:spacing w:after="0"/>
              <w:rPr>
                <w:sz w:val="20"/>
                <w:szCs w:val="20"/>
                <w:color w:val="auto"/>
              </w:rPr>
            </w:pPr>
            <w:r>
              <w:rPr>
                <w:rFonts w:ascii="Times New Roman" w:cs="Times New Roman" w:eastAsia="Times New Roman" w:hAnsi="Times New Roman"/>
                <w:sz w:val="16"/>
                <w:szCs w:val="16"/>
                <w:b w:val="1"/>
                <w:bCs w:val="1"/>
                <w:color w:val="FFFFFF"/>
              </w:rPr>
              <w:t>Options, Warrants and Rights</w:t>
            </w:r>
          </w:p>
        </w:tc>
        <w:tc>
          <w:tcPr>
            <w:tcW w:w="2520" w:type="dxa"/>
            <w:vAlign w:val="bottom"/>
            <w:shd w:val="clear" w:color="auto" w:fill="051E68"/>
          </w:tcPr>
          <w:p>
            <w:pPr>
              <w:jc w:val="center"/>
              <w:ind w:right="17"/>
              <w:spacing w:after="0"/>
              <w:rPr>
                <w:sz w:val="20"/>
                <w:szCs w:val="20"/>
                <w:color w:val="auto"/>
              </w:rPr>
            </w:pPr>
            <w:r>
              <w:rPr>
                <w:rFonts w:ascii="Times New Roman" w:cs="Times New Roman" w:eastAsia="Times New Roman" w:hAnsi="Times New Roman"/>
                <w:sz w:val="16"/>
                <w:szCs w:val="16"/>
                <w:b w:val="1"/>
                <w:bCs w:val="1"/>
                <w:color w:val="FFFFFF"/>
                <w:w w:val="99"/>
              </w:rPr>
              <w:t>and Rights</w:t>
            </w:r>
          </w:p>
        </w:tc>
        <w:tc>
          <w:tcPr>
            <w:tcW w:w="1600" w:type="dxa"/>
            <w:vAlign w:val="bottom"/>
            <w:shd w:val="clear" w:color="auto" w:fill="051E68"/>
          </w:tcPr>
          <w:p>
            <w:pPr>
              <w:jc w:val="center"/>
              <w:ind w:left="217"/>
              <w:spacing w:after="0"/>
              <w:rPr>
                <w:sz w:val="20"/>
                <w:szCs w:val="20"/>
                <w:color w:val="auto"/>
              </w:rPr>
            </w:pPr>
            <w:r>
              <w:rPr>
                <w:rFonts w:ascii="Times New Roman" w:cs="Times New Roman" w:eastAsia="Times New Roman" w:hAnsi="Times New Roman"/>
                <w:sz w:val="16"/>
                <w:szCs w:val="16"/>
                <w:b w:val="1"/>
                <w:bCs w:val="1"/>
                <w:color w:val="FFFFFF"/>
                <w:w w:val="96"/>
              </w:rPr>
              <w:t>Future Issuance</w:t>
            </w:r>
          </w:p>
        </w:tc>
      </w:tr>
      <w:tr>
        <w:trPr>
          <w:trHeight w:val="248"/>
        </w:trPr>
        <w:tc>
          <w:tcPr>
            <w:tcW w:w="4320" w:type="dxa"/>
            <w:vAlign w:val="bottom"/>
            <w:tcBorders>
              <w:left w:val="single" w:sz="8" w:color="auto"/>
            </w:tcBorders>
            <w:shd w:val="clear" w:color="auto" w:fill="CCEEFF"/>
          </w:tcPr>
          <w:p>
            <w:pPr>
              <w:ind w:left="20"/>
              <w:spacing w:after="0" w:line="248"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46,314</w:t>
            </w:r>
          </w:p>
        </w:tc>
        <w:tc>
          <w:tcPr>
            <w:tcW w:w="25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rPr>
              <w:t>$322.88</w:t>
            </w:r>
          </w:p>
        </w:tc>
        <w:tc>
          <w:tcPr>
            <w:tcW w:w="1600" w:type="dxa"/>
            <w:vAlign w:val="bottom"/>
            <w:shd w:val="clear" w:color="auto" w:fill="CCEEFF"/>
          </w:tcPr>
          <w:p>
            <w:pPr>
              <w:jc w:val="center"/>
              <w:ind w:left="217"/>
              <w:spacing w:after="0" w:line="248" w:lineRule="exact"/>
              <w:rPr>
                <w:sz w:val="20"/>
                <w:szCs w:val="20"/>
                <w:color w:val="auto"/>
              </w:rPr>
            </w:pPr>
            <w:r>
              <w:rPr>
                <w:rFonts w:ascii="Times New Roman" w:cs="Times New Roman" w:eastAsia="Times New Roman" w:hAnsi="Times New Roman"/>
                <w:sz w:val="17"/>
                <w:szCs w:val="17"/>
                <w:color w:val="auto"/>
                <w:w w:val="96"/>
              </w:rPr>
              <w:t>154,434</w:t>
            </w:r>
            <w:r>
              <w:rPr>
                <w:rFonts w:ascii="Times New Roman" w:cs="Times New Roman" w:eastAsia="Times New Roman" w:hAnsi="Times New Roman"/>
                <w:sz w:val="22"/>
                <w:szCs w:val="22"/>
                <w:color w:val="auto"/>
                <w:w w:val="96"/>
                <w:vertAlign w:val="superscript"/>
              </w:rPr>
              <w:t>(2)</w:t>
            </w:r>
          </w:p>
        </w:tc>
      </w:tr>
      <w:tr>
        <w:trPr>
          <w:trHeight w:val="170"/>
        </w:trPr>
        <w:tc>
          <w:tcPr>
            <w:tcW w:w="4320" w:type="dxa"/>
            <w:vAlign w:val="bottom"/>
            <w:tcBorders>
              <w:left w:val="single" w:sz="8" w:color="auto"/>
            </w:tcBorders>
          </w:tcPr>
          <w:p>
            <w:pPr>
              <w:ind w:left="20"/>
              <w:spacing w:after="0" w:line="170" w:lineRule="exact"/>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42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w:t>
            </w:r>
          </w:p>
        </w:tc>
        <w:tc>
          <w:tcPr>
            <w:tcW w:w="2520" w:type="dxa"/>
            <w:vAlign w:val="bottom"/>
          </w:tcPr>
          <w:p>
            <w:pPr>
              <w:jc w:val="center"/>
              <w:ind w:right="17"/>
              <w:spacing w:after="0" w:line="170"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center"/>
              <w:ind w:left="217"/>
              <w:spacing w:after="0" w:line="170" w:lineRule="exact"/>
              <w:rPr>
                <w:sz w:val="20"/>
                <w:szCs w:val="20"/>
                <w:color w:val="auto"/>
              </w:rPr>
            </w:pPr>
            <w:r>
              <w:rPr>
                <w:rFonts w:ascii="Times New Roman" w:cs="Times New Roman" w:eastAsia="Times New Roman" w:hAnsi="Times New Roman"/>
                <w:sz w:val="17"/>
                <w:szCs w:val="17"/>
                <w:color w:val="auto"/>
              </w:rPr>
              <w:t>—</w:t>
            </w:r>
          </w:p>
        </w:tc>
      </w:tr>
      <w:tr>
        <w:trPr>
          <w:trHeight w:val="147"/>
        </w:trPr>
        <w:tc>
          <w:tcPr>
            <w:tcW w:w="43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2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3"/>
        </w:trPr>
        <w:tc>
          <w:tcPr>
            <w:tcW w:w="4320" w:type="dxa"/>
            <w:vAlign w:val="bottom"/>
            <w:tcBorders>
              <w:left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8"/>
        </w:trPr>
        <w:tc>
          <w:tcPr>
            <w:tcW w:w="432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46,314</w:t>
            </w:r>
          </w:p>
        </w:tc>
        <w:tc>
          <w:tcPr>
            <w:tcW w:w="252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rPr>
              <w:t>$322.88</w:t>
            </w:r>
          </w:p>
        </w:tc>
        <w:tc>
          <w:tcPr>
            <w:tcW w:w="1600" w:type="dxa"/>
            <w:vAlign w:val="bottom"/>
            <w:tcBorders>
              <w:bottom w:val="single" w:sz="8" w:color="CCEEFF"/>
            </w:tcBorders>
            <w:shd w:val="clear" w:color="auto" w:fill="CCEEFF"/>
          </w:tcPr>
          <w:p>
            <w:pPr>
              <w:jc w:val="center"/>
              <w:ind w:left="217"/>
              <w:spacing w:after="0"/>
              <w:rPr>
                <w:sz w:val="20"/>
                <w:szCs w:val="20"/>
                <w:color w:val="auto"/>
              </w:rPr>
            </w:pPr>
            <w:r>
              <w:rPr>
                <w:rFonts w:ascii="Times New Roman" w:cs="Times New Roman" w:eastAsia="Times New Roman" w:hAnsi="Times New Roman"/>
                <w:sz w:val="17"/>
                <w:szCs w:val="17"/>
                <w:color w:val="auto"/>
              </w:rPr>
              <w:t>154,434</w:t>
            </w:r>
          </w:p>
        </w:tc>
      </w:tr>
      <w:tr>
        <w:trPr>
          <w:trHeight w:val="20"/>
        </w:trPr>
        <w:tc>
          <w:tcPr>
            <w:tcW w:w="4320" w:type="dxa"/>
            <w:vAlign w:val="bottom"/>
            <w:tcBorders>
              <w:left w:val="single" w:sz="8" w:color="auto"/>
            </w:tcBorders>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60" w:lineRule="exact"/>
        <w:rPr>
          <w:sz w:val="20"/>
          <w:szCs w:val="20"/>
          <w:color w:val="auto"/>
        </w:rPr>
      </w:pPr>
    </w:p>
    <w:p>
      <w:pPr>
        <w:ind w:left="340" w:hanging="336"/>
        <w:spacing w:after="0"/>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2016 Plan and the Employee Stock Purchase Plan. The Employee Stock Purchase Plan was suspended in January 2020.</w:t>
      </w:r>
    </w:p>
    <w:p>
      <w:pPr>
        <w:spacing w:after="0" w:line="113" w:lineRule="exact"/>
        <w:rPr>
          <w:rFonts w:ascii="Times New Roman" w:cs="Times New Roman" w:eastAsia="Times New Roman" w:hAnsi="Times New Roman"/>
          <w:sz w:val="14"/>
          <w:szCs w:val="14"/>
          <w:color w:val="auto"/>
        </w:rPr>
      </w:pPr>
    </w:p>
    <w:p>
      <w:pPr>
        <w:ind w:left="320" w:right="100" w:hanging="316"/>
        <w:spacing w:after="0" w:line="284" w:lineRule="auto"/>
        <w:tabs>
          <w:tab w:leader="none" w:pos="37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remaining available for issuance under the 2016 Plan with respect to awards (other than outstanding awards) could be issued in the form of stock options, SARs, stock awards and stock units.</w:t>
      </w:r>
    </w:p>
    <w:p>
      <w:pPr>
        <w:spacing w:after="0" w:line="62" w:lineRule="exact"/>
        <w:rPr>
          <w:rFonts w:ascii="Times New Roman" w:cs="Times New Roman" w:eastAsia="Times New Roman" w:hAnsi="Times New Roman"/>
          <w:sz w:val="14"/>
          <w:szCs w:val="14"/>
          <w:color w:val="auto"/>
        </w:rPr>
      </w:pPr>
    </w:p>
    <w:p>
      <w:pPr>
        <w:jc w:val="both"/>
        <w:ind w:left="320" w:right="100" w:hanging="316"/>
        <w:spacing w:after="0" w:line="258" w:lineRule="auto"/>
        <w:tabs>
          <w:tab w:leader="none" w:pos="30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we did not maintain any equity compensation plans that were not approved by our stockholders. On January 4, 2024, we granted inducement restricted stock unit awards covering a total of 39,000 shares in connection with our acquisition of Variperm Energy Services (“Variperm”) as an inducement to certain Variperm service providers for post-closing employment with us in accordance with NYSE Listing Rule Listing Rule 303A.08.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340"/>
          </w:cols>
          <w:pgMar w:left="320" w:top="137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right="20" w:firstLine="470"/>
        <w:spacing w:after="0" w:line="267"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compensation actually paid does not reflect the actual amount of compensation earned by or paid during the applicable year. For further information concerning the Company’s pay for performance philosophy and how the Company aligns executive compensation with the Company’s performance, refer to “Executive Compensation” above.</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620" w:type="dxa"/>
            <w:vAlign w:val="bottom"/>
            <w:tcBorders>
              <w:top w:val="single" w:sz="8" w:color="auto"/>
              <w:left w:val="single" w:sz="8" w:color="auto"/>
            </w:tcBorders>
            <w:shd w:val="clear" w:color="auto" w:fill="050F70"/>
          </w:tcPr>
          <w:p>
            <w:pPr>
              <w:spacing w:after="0"/>
              <w:rPr>
                <w:sz w:val="14"/>
                <w:szCs w:val="14"/>
                <w:color w:val="auto"/>
              </w:rPr>
            </w:pPr>
          </w:p>
        </w:tc>
        <w:tc>
          <w:tcPr>
            <w:tcW w:w="1460" w:type="dxa"/>
            <w:vAlign w:val="bottom"/>
            <w:tcBorders>
              <w:top w:val="single" w:sz="8" w:color="auto"/>
            </w:tcBorders>
            <w:shd w:val="clear" w:color="auto" w:fill="050F70"/>
          </w:tcPr>
          <w:p>
            <w:pPr>
              <w:spacing w:after="0"/>
              <w:rPr>
                <w:sz w:val="14"/>
                <w:szCs w:val="14"/>
                <w:color w:val="auto"/>
              </w:rPr>
            </w:pPr>
          </w:p>
        </w:tc>
        <w:tc>
          <w:tcPr>
            <w:tcW w:w="1320" w:type="dxa"/>
            <w:vAlign w:val="bottom"/>
            <w:tcBorders>
              <w:top w:val="single" w:sz="8" w:color="auto"/>
            </w:tcBorders>
            <w:shd w:val="clear" w:color="auto" w:fill="050F70"/>
          </w:tcPr>
          <w:p>
            <w:pPr>
              <w:spacing w:after="0"/>
              <w:rPr>
                <w:sz w:val="14"/>
                <w:szCs w:val="14"/>
                <w:color w:val="auto"/>
              </w:rPr>
            </w:pPr>
          </w:p>
        </w:tc>
        <w:tc>
          <w:tcPr>
            <w:tcW w:w="1380" w:type="dxa"/>
            <w:vAlign w:val="bottom"/>
            <w:tcBorders>
              <w:top w:val="single" w:sz="8" w:color="auto"/>
            </w:tcBorders>
            <w:shd w:val="clear" w:color="auto" w:fill="050F70"/>
          </w:tcPr>
          <w:p>
            <w:pPr>
              <w:spacing w:after="0"/>
              <w:rPr>
                <w:sz w:val="14"/>
                <w:szCs w:val="14"/>
                <w:color w:val="auto"/>
              </w:rPr>
            </w:pPr>
          </w:p>
        </w:tc>
        <w:tc>
          <w:tcPr>
            <w:tcW w:w="1320" w:type="dxa"/>
            <w:vAlign w:val="bottom"/>
            <w:tcBorders>
              <w:top w:val="single" w:sz="8" w:color="auto"/>
            </w:tcBorders>
            <w:shd w:val="clear" w:color="auto" w:fill="050F70"/>
          </w:tcPr>
          <w:p>
            <w:pPr>
              <w:spacing w:after="0"/>
              <w:rPr>
                <w:sz w:val="14"/>
                <w:szCs w:val="14"/>
                <w:color w:val="auto"/>
              </w:rPr>
            </w:pPr>
          </w:p>
        </w:tc>
        <w:tc>
          <w:tcPr>
            <w:tcW w:w="1400" w:type="dxa"/>
            <w:vAlign w:val="bottom"/>
            <w:tcBorders>
              <w:top w:val="single" w:sz="8" w:color="auto"/>
            </w:tcBorders>
            <w:shd w:val="clear" w:color="auto" w:fill="050F70"/>
          </w:tcPr>
          <w:p>
            <w:pPr>
              <w:spacing w:after="0"/>
              <w:rPr>
                <w:sz w:val="14"/>
                <w:szCs w:val="14"/>
                <w:color w:val="auto"/>
              </w:rPr>
            </w:pPr>
          </w:p>
        </w:tc>
        <w:tc>
          <w:tcPr>
            <w:tcW w:w="1360" w:type="dxa"/>
            <w:vAlign w:val="bottom"/>
            <w:tcBorders>
              <w:top w:val="single" w:sz="8" w:color="auto"/>
            </w:tcBorders>
            <w:shd w:val="clear" w:color="auto" w:fill="050F70"/>
          </w:tcPr>
          <w:p>
            <w:pPr>
              <w:spacing w:after="0"/>
              <w:rPr>
                <w:sz w:val="14"/>
                <w:szCs w:val="14"/>
                <w:color w:val="auto"/>
              </w:rPr>
            </w:pPr>
          </w:p>
        </w:tc>
        <w:tc>
          <w:tcPr>
            <w:tcW w:w="1180" w:type="dxa"/>
            <w:vAlign w:val="bottom"/>
            <w:tcBorders>
              <w:top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Value of Initial</w:t>
            </w:r>
          </w:p>
        </w:tc>
        <w:tc>
          <w:tcPr>
            <w:tcW w:w="1220" w:type="dxa"/>
            <w:vAlign w:val="bottom"/>
            <w:tcBorders>
              <w:top w:val="single" w:sz="8" w:color="auto"/>
              <w:right w:val="single" w:sz="8" w:color="auto"/>
            </w:tcBorders>
            <w:shd w:val="clear" w:color="auto" w:fill="050F70"/>
          </w:tcPr>
          <w:p>
            <w:pPr>
              <w:spacing w:after="0"/>
              <w:rPr>
                <w:sz w:val="14"/>
                <w:szCs w:val="14"/>
                <w:color w:val="auto"/>
              </w:rPr>
            </w:pPr>
          </w:p>
        </w:tc>
      </w:tr>
      <w:tr>
        <w:trPr>
          <w:trHeight w:val="144"/>
        </w:trPr>
        <w:tc>
          <w:tcPr>
            <w:tcW w:w="620" w:type="dxa"/>
            <w:vAlign w:val="bottom"/>
            <w:tcBorders>
              <w:left w:val="single" w:sz="8" w:color="auto"/>
            </w:tcBorders>
            <w:shd w:val="clear" w:color="auto" w:fill="050F70"/>
          </w:tcPr>
          <w:p>
            <w:pPr>
              <w:spacing w:after="0"/>
              <w:rPr>
                <w:sz w:val="12"/>
                <w:szCs w:val="12"/>
                <w:color w:val="auto"/>
              </w:rPr>
            </w:pPr>
          </w:p>
        </w:tc>
        <w:tc>
          <w:tcPr>
            <w:tcW w:w="1460" w:type="dxa"/>
            <w:vAlign w:val="bottom"/>
            <w:shd w:val="clear" w:color="auto" w:fill="050F70"/>
          </w:tcPr>
          <w:p>
            <w:pPr>
              <w:spacing w:after="0"/>
              <w:rPr>
                <w:sz w:val="12"/>
                <w:szCs w:val="12"/>
                <w:color w:val="auto"/>
              </w:rPr>
            </w:pPr>
          </w:p>
        </w:tc>
        <w:tc>
          <w:tcPr>
            <w:tcW w:w="1320" w:type="dxa"/>
            <w:vAlign w:val="bottom"/>
            <w:shd w:val="clear" w:color="auto" w:fill="050F70"/>
          </w:tcPr>
          <w:p>
            <w:pPr>
              <w:spacing w:after="0"/>
              <w:rPr>
                <w:sz w:val="12"/>
                <w:szCs w:val="12"/>
                <w:color w:val="auto"/>
              </w:rPr>
            </w:pPr>
          </w:p>
        </w:tc>
        <w:tc>
          <w:tcPr>
            <w:tcW w:w="1380" w:type="dxa"/>
            <w:vAlign w:val="bottom"/>
            <w:shd w:val="clear" w:color="auto" w:fill="050F70"/>
          </w:tcPr>
          <w:p>
            <w:pPr>
              <w:spacing w:after="0"/>
              <w:rPr>
                <w:sz w:val="12"/>
                <w:szCs w:val="12"/>
                <w:color w:val="auto"/>
              </w:rPr>
            </w:pPr>
          </w:p>
        </w:tc>
        <w:tc>
          <w:tcPr>
            <w:tcW w:w="1320" w:type="dxa"/>
            <w:vAlign w:val="bottom"/>
            <w:shd w:val="clear" w:color="auto" w:fill="050F70"/>
          </w:tcPr>
          <w:p>
            <w:pPr>
              <w:spacing w:after="0"/>
              <w:rPr>
                <w:sz w:val="12"/>
                <w:szCs w:val="12"/>
                <w:color w:val="auto"/>
              </w:rPr>
            </w:pPr>
          </w:p>
        </w:tc>
        <w:tc>
          <w:tcPr>
            <w:tcW w:w="1400" w:type="dxa"/>
            <w:vAlign w:val="bottom"/>
            <w:shd w:val="clear" w:color="auto" w:fill="050F70"/>
          </w:tcPr>
          <w:p>
            <w:pPr>
              <w:spacing w:after="0"/>
              <w:rPr>
                <w:sz w:val="12"/>
                <w:szCs w:val="12"/>
                <w:color w:val="auto"/>
              </w:rPr>
            </w:pPr>
          </w:p>
        </w:tc>
        <w:tc>
          <w:tcPr>
            <w:tcW w:w="1360" w:type="dxa"/>
            <w:vAlign w:val="bottom"/>
            <w:shd w:val="clear" w:color="auto" w:fill="050F70"/>
          </w:tcPr>
          <w:p>
            <w:pPr>
              <w:spacing w:after="0"/>
              <w:rPr>
                <w:sz w:val="12"/>
                <w:szCs w:val="12"/>
                <w:color w:val="auto"/>
              </w:rPr>
            </w:pPr>
          </w:p>
        </w:tc>
        <w:tc>
          <w:tcPr>
            <w:tcW w:w="1180" w:type="dxa"/>
            <w:vAlign w:val="bottom"/>
            <w:shd w:val="clear" w:color="auto" w:fill="050F70"/>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FFFFFF"/>
                <w:w w:val="98"/>
              </w:rPr>
              <w:t>Fixed $100</w:t>
            </w:r>
          </w:p>
        </w:tc>
        <w:tc>
          <w:tcPr>
            <w:tcW w:w="1220" w:type="dxa"/>
            <w:vAlign w:val="bottom"/>
            <w:tcBorders>
              <w:right w:val="single" w:sz="8" w:color="auto"/>
            </w:tcBorders>
            <w:shd w:val="clear" w:color="auto" w:fill="050F70"/>
          </w:tcPr>
          <w:p>
            <w:pPr>
              <w:spacing w:after="0"/>
              <w:rPr>
                <w:sz w:val="12"/>
                <w:szCs w:val="12"/>
                <w:color w:val="auto"/>
              </w:rPr>
            </w:pPr>
          </w:p>
        </w:tc>
      </w:tr>
      <w:tr>
        <w:trPr>
          <w:trHeight w:val="157"/>
        </w:trPr>
        <w:tc>
          <w:tcPr>
            <w:tcW w:w="620" w:type="dxa"/>
            <w:vAlign w:val="bottom"/>
            <w:tcBorders>
              <w:left w:val="single" w:sz="8" w:color="auto"/>
            </w:tcBorders>
            <w:shd w:val="clear" w:color="auto" w:fill="050F70"/>
          </w:tcPr>
          <w:p>
            <w:pPr>
              <w:spacing w:after="0"/>
              <w:rPr>
                <w:sz w:val="13"/>
                <w:szCs w:val="13"/>
                <w:color w:val="auto"/>
              </w:rPr>
            </w:pPr>
          </w:p>
        </w:tc>
        <w:tc>
          <w:tcPr>
            <w:tcW w:w="1460" w:type="dxa"/>
            <w:vAlign w:val="bottom"/>
            <w:shd w:val="clear" w:color="auto" w:fill="050F70"/>
          </w:tcPr>
          <w:p>
            <w:pPr>
              <w:spacing w:after="0"/>
              <w:rPr>
                <w:sz w:val="13"/>
                <w:szCs w:val="13"/>
                <w:color w:val="auto"/>
              </w:rPr>
            </w:pPr>
          </w:p>
        </w:tc>
        <w:tc>
          <w:tcPr>
            <w:tcW w:w="1320" w:type="dxa"/>
            <w:vAlign w:val="bottom"/>
            <w:shd w:val="clear" w:color="auto" w:fill="050F70"/>
          </w:tcPr>
          <w:p>
            <w:pPr>
              <w:spacing w:after="0"/>
              <w:rPr>
                <w:sz w:val="13"/>
                <w:szCs w:val="13"/>
                <w:color w:val="auto"/>
              </w:rPr>
            </w:pPr>
          </w:p>
        </w:tc>
        <w:tc>
          <w:tcPr>
            <w:tcW w:w="1380" w:type="dxa"/>
            <w:vAlign w:val="bottom"/>
            <w:shd w:val="clear" w:color="auto" w:fill="050F70"/>
          </w:tcPr>
          <w:p>
            <w:pPr>
              <w:spacing w:after="0"/>
              <w:rPr>
                <w:sz w:val="13"/>
                <w:szCs w:val="13"/>
                <w:color w:val="auto"/>
              </w:rPr>
            </w:pPr>
          </w:p>
        </w:tc>
        <w:tc>
          <w:tcPr>
            <w:tcW w:w="1320" w:type="dxa"/>
            <w:vAlign w:val="bottom"/>
            <w:shd w:val="clear" w:color="auto" w:fill="050F70"/>
          </w:tcPr>
          <w:p>
            <w:pPr>
              <w:spacing w:after="0"/>
              <w:rPr>
                <w:sz w:val="13"/>
                <w:szCs w:val="13"/>
                <w:color w:val="auto"/>
              </w:rPr>
            </w:pPr>
          </w:p>
        </w:tc>
        <w:tc>
          <w:tcPr>
            <w:tcW w:w="140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7"/>
              </w:rPr>
              <w:t>Average Summary</w:t>
            </w:r>
          </w:p>
        </w:tc>
        <w:tc>
          <w:tcPr>
            <w:tcW w:w="136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6"/>
              </w:rPr>
              <w:t>Average</w:t>
            </w:r>
          </w:p>
        </w:tc>
        <w:tc>
          <w:tcPr>
            <w:tcW w:w="118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7"/>
              </w:rPr>
              <w:t>Investment Based</w:t>
            </w:r>
          </w:p>
        </w:tc>
        <w:tc>
          <w:tcPr>
            <w:tcW w:w="1220" w:type="dxa"/>
            <w:vAlign w:val="bottom"/>
            <w:tcBorders>
              <w:right w:val="single" w:sz="8" w:color="auto"/>
            </w:tcBorders>
            <w:shd w:val="clear" w:color="auto" w:fill="050F70"/>
          </w:tcPr>
          <w:p>
            <w:pPr>
              <w:spacing w:after="0"/>
              <w:rPr>
                <w:sz w:val="13"/>
                <w:szCs w:val="13"/>
                <w:color w:val="auto"/>
              </w:rPr>
            </w:pPr>
          </w:p>
        </w:tc>
      </w:tr>
      <w:tr>
        <w:trPr>
          <w:trHeight w:val="155"/>
        </w:trPr>
        <w:tc>
          <w:tcPr>
            <w:tcW w:w="620" w:type="dxa"/>
            <w:vAlign w:val="bottom"/>
            <w:tcBorders>
              <w:left w:val="single" w:sz="8" w:color="auto"/>
            </w:tcBorders>
            <w:shd w:val="clear" w:color="auto" w:fill="050F70"/>
          </w:tcPr>
          <w:p>
            <w:pPr>
              <w:spacing w:after="0"/>
              <w:rPr>
                <w:sz w:val="13"/>
                <w:szCs w:val="13"/>
                <w:color w:val="auto"/>
              </w:rPr>
            </w:pPr>
          </w:p>
        </w:tc>
        <w:tc>
          <w:tcPr>
            <w:tcW w:w="146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8"/>
              </w:rPr>
              <w:t>Summary</w:t>
            </w:r>
          </w:p>
        </w:tc>
        <w:tc>
          <w:tcPr>
            <w:tcW w:w="132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380" w:type="dxa"/>
            <w:vAlign w:val="bottom"/>
            <w:shd w:val="clear" w:color="auto" w:fill="050F70"/>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FFFFFF"/>
              </w:rPr>
              <w:t>Summary</w:t>
            </w:r>
          </w:p>
        </w:tc>
        <w:tc>
          <w:tcPr>
            <w:tcW w:w="132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40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8"/>
              </w:rPr>
              <w:t>Compensation Table</w:t>
            </w:r>
          </w:p>
        </w:tc>
        <w:tc>
          <w:tcPr>
            <w:tcW w:w="136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180" w:type="dxa"/>
            <w:vAlign w:val="bottom"/>
            <w:shd w:val="clear" w:color="auto" w:fill="050F7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FFFFFF"/>
                <w:w w:val="95"/>
              </w:rPr>
              <w:t>on Total</w:t>
            </w:r>
          </w:p>
        </w:tc>
        <w:tc>
          <w:tcPr>
            <w:tcW w:w="1220" w:type="dxa"/>
            <w:vAlign w:val="bottom"/>
            <w:tcBorders>
              <w:right w:val="single" w:sz="8" w:color="auto"/>
            </w:tcBorders>
            <w:shd w:val="clear" w:color="auto" w:fill="050F70"/>
          </w:tcPr>
          <w:p>
            <w:pPr>
              <w:spacing w:after="0"/>
              <w:rPr>
                <w:sz w:val="13"/>
                <w:szCs w:val="13"/>
                <w:color w:val="auto"/>
              </w:rPr>
            </w:pPr>
          </w:p>
        </w:tc>
      </w:tr>
      <w:tr>
        <w:trPr>
          <w:trHeight w:val="157"/>
        </w:trPr>
        <w:tc>
          <w:tcPr>
            <w:tcW w:w="620" w:type="dxa"/>
            <w:vAlign w:val="bottom"/>
            <w:tcBorders>
              <w:left w:val="single" w:sz="8" w:color="auto"/>
            </w:tcBorders>
            <w:shd w:val="clear" w:color="auto" w:fill="050F70"/>
          </w:tcPr>
          <w:p>
            <w:pPr>
              <w:spacing w:after="0"/>
              <w:rPr>
                <w:sz w:val="13"/>
                <w:szCs w:val="13"/>
                <w:color w:val="auto"/>
              </w:rPr>
            </w:pPr>
          </w:p>
        </w:tc>
        <w:tc>
          <w:tcPr>
            <w:tcW w:w="146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8"/>
              </w:rPr>
              <w:t>Compensation Table</w:t>
            </w:r>
          </w:p>
        </w:tc>
        <w:tc>
          <w:tcPr>
            <w:tcW w:w="132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Actually Paid to Mr.</w:t>
            </w:r>
          </w:p>
        </w:tc>
        <w:tc>
          <w:tcPr>
            <w:tcW w:w="1380" w:type="dxa"/>
            <w:vAlign w:val="bottom"/>
            <w:shd w:val="clear" w:color="auto" w:fill="050F70"/>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FFFFFF"/>
              </w:rPr>
              <w:t>Compensation Table</w:t>
            </w:r>
          </w:p>
        </w:tc>
        <w:tc>
          <w:tcPr>
            <w:tcW w:w="132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Actually Paid to Mr.</w:t>
            </w:r>
          </w:p>
        </w:tc>
        <w:tc>
          <w:tcPr>
            <w:tcW w:w="140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2"/>
                <w:szCs w:val="12"/>
                <w:b w:val="1"/>
                <w:bCs w:val="1"/>
                <w:color w:val="FFFFFF"/>
              </w:rPr>
              <w:t>for Non-PEO NEOs</w:t>
            </w:r>
            <w:r>
              <w:rPr>
                <w:rFonts w:ascii="Times New Roman" w:cs="Times New Roman" w:eastAsia="Times New Roman" w:hAnsi="Times New Roman"/>
                <w:sz w:val="18"/>
                <w:szCs w:val="18"/>
                <w:b w:val="1"/>
                <w:bCs w:val="1"/>
                <w:color w:val="FFFFFF"/>
                <w:vertAlign w:val="superscript"/>
              </w:rPr>
              <w:t>(3)</w:t>
            </w:r>
          </w:p>
        </w:tc>
        <w:tc>
          <w:tcPr>
            <w:tcW w:w="136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8"/>
              </w:rPr>
              <w:t>Actually Paid to Non-</w:t>
            </w:r>
          </w:p>
        </w:tc>
        <w:tc>
          <w:tcPr>
            <w:tcW w:w="118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7"/>
              </w:rPr>
              <w:t>Shareholder</w:t>
            </w:r>
          </w:p>
        </w:tc>
        <w:tc>
          <w:tcPr>
            <w:tcW w:w="1220" w:type="dxa"/>
            <w:vAlign w:val="bottom"/>
            <w:tcBorders>
              <w:right w:val="single" w:sz="8" w:color="auto"/>
            </w:tcBorders>
            <w:shd w:val="clear" w:color="auto" w:fill="050F70"/>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FFFFFF"/>
              </w:rPr>
              <w:t>Net Income (Loss)</w:t>
            </w:r>
          </w:p>
        </w:tc>
      </w:tr>
      <w:tr>
        <w:trPr>
          <w:trHeight w:val="222"/>
        </w:trPr>
        <w:tc>
          <w:tcPr>
            <w:tcW w:w="620" w:type="dxa"/>
            <w:vAlign w:val="bottom"/>
            <w:tcBorders>
              <w:left w:val="single" w:sz="8" w:color="auto"/>
            </w:tcBorders>
            <w:shd w:val="clear" w:color="auto" w:fill="050F70"/>
          </w:tcPr>
          <w:p>
            <w:pPr>
              <w:ind w:left="220"/>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146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Total for Mr. Gaut ($)</w:t>
            </w:r>
          </w:p>
        </w:tc>
        <w:tc>
          <w:tcPr>
            <w:tcW w:w="1320" w:type="dxa"/>
            <w:vAlign w:val="bottom"/>
            <w:shd w:val="clear" w:color="auto" w:fill="050F70"/>
          </w:tcPr>
          <w:p>
            <w:pPr>
              <w:jc w:val="center"/>
              <w:spacing w:after="0" w:line="222" w:lineRule="exact"/>
              <w:rPr>
                <w:sz w:val="20"/>
                <w:szCs w:val="20"/>
                <w:color w:val="auto"/>
              </w:rPr>
            </w:pPr>
            <w:r>
              <w:rPr>
                <w:rFonts w:ascii="Times New Roman" w:cs="Times New Roman" w:eastAsia="Times New Roman" w:hAnsi="Times New Roman"/>
                <w:sz w:val="14"/>
                <w:szCs w:val="14"/>
                <w:b w:val="1"/>
                <w:bCs w:val="1"/>
                <w:color w:val="FFFFFF"/>
                <w:w w:val="92"/>
              </w:rPr>
              <w:t>Gaut</w:t>
            </w:r>
            <w:r>
              <w:rPr>
                <w:rFonts w:ascii="Times New Roman" w:cs="Times New Roman" w:eastAsia="Times New Roman" w:hAnsi="Times New Roman"/>
                <w:sz w:val="22"/>
                <w:szCs w:val="22"/>
                <w:b w:val="1"/>
                <w:bCs w:val="1"/>
                <w:color w:val="FFFFFF"/>
                <w:w w:val="92"/>
                <w:vertAlign w:val="superscript"/>
              </w:rPr>
              <w:t>(1)</w:t>
            </w:r>
            <w:r>
              <w:rPr>
                <w:rFonts w:ascii="Times New Roman" w:cs="Times New Roman" w:eastAsia="Times New Roman" w:hAnsi="Times New Roman"/>
                <w:sz w:val="14"/>
                <w:szCs w:val="14"/>
                <w:b w:val="1"/>
                <w:bCs w:val="1"/>
                <w:color w:val="FFFFFF"/>
                <w:w w:val="92"/>
              </w:rPr>
              <w:t xml:space="preserve"> ($)</w:t>
            </w:r>
          </w:p>
        </w:tc>
        <w:tc>
          <w:tcPr>
            <w:tcW w:w="1380" w:type="dxa"/>
            <w:vAlign w:val="bottom"/>
            <w:shd w:val="clear" w:color="auto" w:fill="050F70"/>
          </w:tcPr>
          <w:p>
            <w:pPr>
              <w:ind w:left="80"/>
              <w:spacing w:after="0"/>
              <w:rPr>
                <w:sz w:val="20"/>
                <w:szCs w:val="20"/>
                <w:color w:val="auto"/>
              </w:rPr>
            </w:pPr>
            <w:r>
              <w:rPr>
                <w:rFonts w:ascii="Times New Roman" w:cs="Times New Roman" w:eastAsia="Times New Roman" w:hAnsi="Times New Roman"/>
                <w:sz w:val="14"/>
                <w:szCs w:val="14"/>
                <w:b w:val="1"/>
                <w:bCs w:val="1"/>
                <w:color w:val="FFFFFF"/>
              </w:rPr>
              <w:t>Total for Mr. Lux ($)</w:t>
            </w:r>
          </w:p>
        </w:tc>
        <w:tc>
          <w:tcPr>
            <w:tcW w:w="1320" w:type="dxa"/>
            <w:vAlign w:val="bottom"/>
            <w:shd w:val="clear" w:color="auto" w:fill="050F70"/>
          </w:tcPr>
          <w:p>
            <w:pPr>
              <w:jc w:val="center"/>
              <w:spacing w:after="0" w:line="222" w:lineRule="exact"/>
              <w:rPr>
                <w:sz w:val="20"/>
                <w:szCs w:val="20"/>
                <w:color w:val="auto"/>
              </w:rPr>
            </w:pPr>
            <w:r>
              <w:rPr>
                <w:rFonts w:ascii="Times New Roman" w:cs="Times New Roman" w:eastAsia="Times New Roman" w:hAnsi="Times New Roman"/>
                <w:sz w:val="14"/>
                <w:szCs w:val="14"/>
                <w:b w:val="1"/>
                <w:bCs w:val="1"/>
                <w:color w:val="FFFFFF"/>
                <w:w w:val="94"/>
              </w:rPr>
              <w:t>Lux</w:t>
            </w:r>
            <w:r>
              <w:rPr>
                <w:rFonts w:ascii="Times New Roman" w:cs="Times New Roman" w:eastAsia="Times New Roman" w:hAnsi="Times New Roman"/>
                <w:sz w:val="22"/>
                <w:szCs w:val="22"/>
                <w:b w:val="1"/>
                <w:bCs w:val="1"/>
                <w:color w:val="FFFFFF"/>
                <w:w w:val="94"/>
                <w:vertAlign w:val="superscript"/>
              </w:rPr>
              <w:t>(2)</w:t>
            </w:r>
            <w:r>
              <w:rPr>
                <w:rFonts w:ascii="Times New Roman" w:cs="Times New Roman" w:eastAsia="Times New Roman" w:hAnsi="Times New Roman"/>
                <w:sz w:val="14"/>
                <w:szCs w:val="14"/>
                <w:b w:val="1"/>
                <w:bCs w:val="1"/>
                <w:color w:val="FFFFFF"/>
                <w:w w:val="94"/>
              </w:rPr>
              <w:t xml:space="preserve"> ($)</w:t>
            </w:r>
          </w:p>
        </w:tc>
        <w:tc>
          <w:tcPr>
            <w:tcW w:w="140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1360" w:type="dxa"/>
            <w:vAlign w:val="bottom"/>
            <w:shd w:val="clear" w:color="auto" w:fill="050F70"/>
          </w:tcPr>
          <w:p>
            <w:pPr>
              <w:jc w:val="center"/>
              <w:spacing w:after="0" w:line="222" w:lineRule="exact"/>
              <w:rPr>
                <w:sz w:val="20"/>
                <w:szCs w:val="20"/>
                <w:color w:val="auto"/>
              </w:rPr>
            </w:pPr>
            <w:r>
              <w:rPr>
                <w:rFonts w:ascii="Times New Roman" w:cs="Times New Roman" w:eastAsia="Times New Roman" w:hAnsi="Times New Roman"/>
                <w:sz w:val="14"/>
                <w:szCs w:val="14"/>
                <w:b w:val="1"/>
                <w:bCs w:val="1"/>
                <w:color w:val="FFFFFF"/>
                <w:w w:val="95"/>
              </w:rPr>
              <w:t>PEO NEOs</w:t>
            </w:r>
            <w:r>
              <w:rPr>
                <w:rFonts w:ascii="Times New Roman" w:cs="Times New Roman" w:eastAsia="Times New Roman" w:hAnsi="Times New Roman"/>
                <w:sz w:val="22"/>
                <w:szCs w:val="22"/>
                <w:b w:val="1"/>
                <w:bCs w:val="1"/>
                <w:color w:val="FFFFFF"/>
                <w:w w:val="95"/>
                <w:vertAlign w:val="superscript"/>
              </w:rPr>
              <w:t>(4)</w:t>
            </w:r>
            <w:r>
              <w:rPr>
                <w:rFonts w:ascii="Times New Roman" w:cs="Times New Roman" w:eastAsia="Times New Roman" w:hAnsi="Times New Roman"/>
                <w:sz w:val="14"/>
                <w:szCs w:val="14"/>
                <w:b w:val="1"/>
                <w:bCs w:val="1"/>
                <w:color w:val="FFFFFF"/>
                <w:w w:val="95"/>
              </w:rPr>
              <w:t xml:space="preserve"> ($)</w:t>
            </w:r>
          </w:p>
        </w:tc>
        <w:tc>
          <w:tcPr>
            <w:tcW w:w="1180" w:type="dxa"/>
            <w:vAlign w:val="bottom"/>
            <w:shd w:val="clear" w:color="auto" w:fill="050F70"/>
          </w:tcPr>
          <w:p>
            <w:pPr>
              <w:jc w:val="center"/>
              <w:spacing w:after="0" w:line="222" w:lineRule="exact"/>
              <w:rPr>
                <w:sz w:val="20"/>
                <w:szCs w:val="20"/>
                <w:color w:val="auto"/>
              </w:rPr>
            </w:pPr>
            <w:r>
              <w:rPr>
                <w:rFonts w:ascii="Times New Roman" w:cs="Times New Roman" w:eastAsia="Times New Roman" w:hAnsi="Times New Roman"/>
                <w:sz w:val="14"/>
                <w:szCs w:val="14"/>
                <w:b w:val="1"/>
                <w:bCs w:val="1"/>
                <w:color w:val="FFFFFF"/>
                <w:w w:val="95"/>
              </w:rPr>
              <w:t>Return</w:t>
            </w:r>
            <w:r>
              <w:rPr>
                <w:rFonts w:ascii="Times New Roman" w:cs="Times New Roman" w:eastAsia="Times New Roman" w:hAnsi="Times New Roman"/>
                <w:sz w:val="22"/>
                <w:szCs w:val="22"/>
                <w:b w:val="1"/>
                <w:bCs w:val="1"/>
                <w:color w:val="FFFFFF"/>
                <w:w w:val="95"/>
                <w:vertAlign w:val="superscript"/>
              </w:rPr>
              <w:t>(5)</w:t>
            </w:r>
            <w:r>
              <w:rPr>
                <w:rFonts w:ascii="Times New Roman" w:cs="Times New Roman" w:eastAsia="Times New Roman" w:hAnsi="Times New Roman"/>
                <w:sz w:val="14"/>
                <w:szCs w:val="14"/>
                <w:b w:val="1"/>
                <w:bCs w:val="1"/>
                <w:color w:val="FFFFFF"/>
                <w:w w:val="95"/>
              </w:rPr>
              <w:t xml:space="preserve"> ($)</w:t>
            </w:r>
          </w:p>
        </w:tc>
        <w:tc>
          <w:tcPr>
            <w:tcW w:w="1220" w:type="dxa"/>
            <w:vAlign w:val="bottom"/>
            <w:tcBorders>
              <w:right w:val="single" w:sz="8" w:color="auto"/>
            </w:tcBorders>
            <w:shd w:val="clear" w:color="auto" w:fill="050F70"/>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FFFFFF"/>
                <w:w w:val="86"/>
                <w:vertAlign w:val="superscript"/>
              </w:rPr>
              <w:t>(6)</w:t>
            </w:r>
            <w:r>
              <w:rPr>
                <w:rFonts w:ascii="Times New Roman" w:cs="Times New Roman" w:eastAsia="Times New Roman" w:hAnsi="Times New Roman"/>
                <w:sz w:val="14"/>
                <w:szCs w:val="14"/>
                <w:b w:val="1"/>
                <w:bCs w:val="1"/>
                <w:color w:val="FFFFFF"/>
                <w:w w:val="86"/>
              </w:rPr>
              <w:t xml:space="preserve"> ($)</w:t>
            </w:r>
          </w:p>
        </w:tc>
      </w:tr>
      <w:tr>
        <w:trPr>
          <w:trHeight w:val="222"/>
        </w:trPr>
        <w:tc>
          <w:tcPr>
            <w:tcW w:w="6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146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132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4,455,101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2,361,907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1,963,630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1,103,499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186.30</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(18,876,000)</w:t>
            </w:r>
          </w:p>
        </w:tc>
      </w:tr>
      <w:tr>
        <w:trPr>
          <w:trHeight w:val="222"/>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2022 </w:t>
            </w:r>
            <w:r>
              <w:rPr>
                <w:rFonts w:ascii="Times New Roman" w:cs="Times New Roman" w:eastAsia="Times New Roman" w:hAnsi="Times New Roman"/>
                <w:sz w:val="18"/>
                <w:szCs w:val="18"/>
                <w:color w:val="auto"/>
                <w:vertAlign w:val="superscript"/>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7,165,066</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9,301,332</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3,571,484</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5,217,166</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2,361,808</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3,415,694</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247.90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3,712,000</w:t>
            </w:r>
          </w:p>
        </w:tc>
      </w:tr>
      <w:tr>
        <w:trPr>
          <w:trHeight w:val="222"/>
        </w:trPr>
        <w:tc>
          <w:tcPr>
            <w:tcW w:w="6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3,216,316</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3,466,505</w:t>
            </w:r>
          </w:p>
        </w:tc>
        <w:tc>
          <w:tcPr>
            <w:tcW w:w="1380" w:type="dxa"/>
            <w:vAlign w:val="bottom"/>
            <w:tcBorders>
              <w:bottom w:val="single" w:sz="8" w:color="auto"/>
            </w:tcBorders>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1320" w:type="dxa"/>
            <w:vAlign w:val="bottom"/>
            <w:tcBorders>
              <w:bottom w:val="single" w:sz="8" w:color="auto"/>
            </w:tcBorders>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1,467,954</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1,497,920</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134.87</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(82,651,000)</w:t>
            </w:r>
          </w:p>
        </w:tc>
      </w:tr>
    </w:tbl>
    <w:p>
      <w:pPr>
        <w:spacing w:after="0" w:line="160" w:lineRule="exact"/>
        <w:rPr>
          <w:sz w:val="20"/>
          <w:szCs w:val="20"/>
          <w:color w:val="auto"/>
        </w:rPr>
      </w:pPr>
    </w:p>
    <w:p>
      <w:pPr>
        <w:ind w:left="320" w:right="20" w:hanging="316"/>
        <w:spacing w:after="0" w:line="284" w:lineRule="auto"/>
        <w:tabs>
          <w:tab w:leader="none" w:pos="36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“compensation actually paid” to Mr. Gaut, as computed in accordance with SEC rules and does not reflect the actual amount of compensation earned by or paid during the applicable year. The valuation assumptions used to calculate fair values did not materially differ from those disclosed at the time of grant.</w:t>
      </w:r>
    </w:p>
    <w:p>
      <w:pPr>
        <w:spacing w:after="0" w:line="62" w:lineRule="exact"/>
        <w:rPr>
          <w:rFonts w:ascii="Times New Roman" w:cs="Times New Roman" w:eastAsia="Times New Roman" w:hAnsi="Times New Roman"/>
          <w:sz w:val="14"/>
          <w:szCs w:val="14"/>
          <w:color w:val="auto"/>
        </w:rPr>
      </w:pPr>
    </w:p>
    <w:p>
      <w:pPr>
        <w:jc w:val="both"/>
        <w:ind w:left="320" w:right="20" w:hanging="316"/>
        <w:spacing w:after="0" w:line="258"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“compensation actually paid” to Mr. Lux, as computed in accordance with SEC rules and does not reflect the actual amount of compensation earned by or paid during the applicable year. In accordance with SEC rules, the following adjustments were made to total compensation to determine the compensation actually paid for 2023. The valuation assumptions used to calculate fair values did not materially differ from those disclosed at the time of grant.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340" w:type="dxa"/>
            <w:vAlign w:val="bottom"/>
            <w:tcBorders>
              <w:top w:val="single" w:sz="8" w:color="auto"/>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Mr. Lux</w:t>
            </w:r>
          </w:p>
        </w:tc>
        <w:tc>
          <w:tcPr>
            <w:tcW w:w="2920" w:type="dxa"/>
            <w:vAlign w:val="bottom"/>
            <w:tcBorders>
              <w:top w:val="single" w:sz="8" w:color="auto"/>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7"/>
                <w:szCs w:val="17"/>
                <w:b w:val="1"/>
                <w:bCs w:val="1"/>
                <w:color w:val="FFFFFF"/>
              </w:rPr>
              <w:t>2023 ($)</w:t>
            </w:r>
          </w:p>
        </w:tc>
      </w:tr>
      <w:tr>
        <w:trPr>
          <w:trHeight w:val="248"/>
        </w:trPr>
        <w:tc>
          <w:tcPr>
            <w:tcW w:w="83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Summary Compensation Table Total</w:t>
            </w:r>
          </w:p>
        </w:tc>
        <w:tc>
          <w:tcPr>
            <w:tcW w:w="2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4,455,101</w:t>
            </w:r>
          </w:p>
        </w:tc>
      </w:tr>
      <w:tr>
        <w:trPr>
          <w:trHeight w:val="227"/>
        </w:trPr>
        <w:tc>
          <w:tcPr>
            <w:tcW w:w="83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Less, value of Stock Awards reported in Summary Compensation Table</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(3,264,920)</w:t>
            </w:r>
          </w:p>
        </w:tc>
      </w:tr>
      <w:tr>
        <w:trPr>
          <w:trHeight w:val="21"/>
        </w:trPr>
        <w:tc>
          <w:tcPr>
            <w:tcW w:w="8340" w:type="dxa"/>
            <w:vAlign w:val="bottom"/>
            <w:tcBorders>
              <w:lef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r>
      <w:tr>
        <w:trPr>
          <w:trHeight w:val="228"/>
        </w:trPr>
        <w:tc>
          <w:tcPr>
            <w:tcW w:w="8340" w:type="dxa"/>
            <w:vAlign w:val="bottom"/>
            <w:tcBorders>
              <w:left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Plus, year-end fair value of outstanding and unvested equity awards granted in the year</w:t>
            </w:r>
          </w:p>
        </w:tc>
        <w:tc>
          <w:tcPr>
            <w:tcW w:w="2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1,538,482</w:t>
            </w:r>
          </w:p>
        </w:tc>
      </w:tr>
      <w:tr>
        <w:trPr>
          <w:trHeight w:val="227"/>
        </w:trPr>
        <w:tc>
          <w:tcPr>
            <w:tcW w:w="83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Plus (less), year over year change in fair value of outstanding and unvested equity awards granted in prior years</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(445,315)</w:t>
            </w:r>
          </w:p>
        </w:tc>
      </w:tr>
      <w:tr>
        <w:trPr>
          <w:trHeight w:val="21"/>
        </w:trPr>
        <w:tc>
          <w:tcPr>
            <w:tcW w:w="8340" w:type="dxa"/>
            <w:vAlign w:val="bottom"/>
            <w:tcBorders>
              <w:lef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r>
      <w:tr>
        <w:trPr>
          <w:trHeight w:val="190"/>
        </w:trPr>
        <w:tc>
          <w:tcPr>
            <w:tcW w:w="8340" w:type="dxa"/>
            <w:vAlign w:val="bottom"/>
            <w:tcBorders>
              <w:left w:val="single" w:sz="8" w:color="auto"/>
            </w:tcBorders>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Plus (less), change in fair value from last day of prior fiscal year to vesting date for equity awards granted in prior</w:t>
            </w:r>
          </w:p>
        </w:tc>
        <w:tc>
          <w:tcPr>
            <w:tcW w:w="2920" w:type="dxa"/>
            <w:vAlign w:val="bottom"/>
            <w:tcBorders>
              <w:right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78,559</w:t>
            </w:r>
          </w:p>
        </w:tc>
      </w:tr>
      <w:tr>
        <w:trPr>
          <w:trHeight w:val="227"/>
        </w:trPr>
        <w:tc>
          <w:tcPr>
            <w:tcW w:w="83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years that vested in the year</w:t>
            </w:r>
          </w:p>
        </w:tc>
        <w:tc>
          <w:tcPr>
            <w:tcW w:w="2920" w:type="dxa"/>
            <w:vAlign w:val="bottom"/>
            <w:tcBorders>
              <w:right w:val="single" w:sz="8" w:color="auto"/>
            </w:tcBorders>
            <w:shd w:val="clear" w:color="auto" w:fill="CCEEFF"/>
          </w:tcPr>
          <w:p>
            <w:pPr>
              <w:spacing w:after="0"/>
              <w:rPr>
                <w:sz w:val="19"/>
                <w:szCs w:val="19"/>
                <w:color w:val="auto"/>
              </w:rPr>
            </w:pPr>
          </w:p>
        </w:tc>
      </w:tr>
      <w:tr>
        <w:trPr>
          <w:trHeight w:val="254"/>
        </w:trPr>
        <w:tc>
          <w:tcPr>
            <w:tcW w:w="83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Compensation Actually Paid to Mr. Lux</w:t>
            </w:r>
          </w:p>
        </w:tc>
        <w:tc>
          <w:tcPr>
            <w:tcW w:w="2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2,361,907</w:t>
            </w:r>
          </w:p>
        </w:tc>
      </w:tr>
      <w:tr>
        <w:trPr>
          <w:trHeight w:val="20"/>
        </w:trPr>
        <w:tc>
          <w:tcPr>
            <w:tcW w:w="8340" w:type="dxa"/>
            <w:vAlign w:val="bottom"/>
            <w:tcBorders>
              <w:left w:val="single" w:sz="8" w:color="auto"/>
            </w:tcBorders>
            <w:shd w:val="clear" w:color="auto" w:fill="000000"/>
          </w:tcPr>
          <w:p>
            <w:pPr>
              <w:spacing w:after="0" w:line="20" w:lineRule="exact"/>
              <w:rPr>
                <w:sz w:val="1"/>
                <w:szCs w:val="1"/>
                <w:color w:val="auto"/>
              </w:rPr>
            </w:pPr>
          </w:p>
        </w:tc>
        <w:tc>
          <w:tcPr>
            <w:tcW w:w="2920" w:type="dxa"/>
            <w:vAlign w:val="bottom"/>
            <w:tcBorders>
              <w:right w:val="single" w:sz="8" w:color="auto"/>
            </w:tcBorders>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both"/>
        <w:ind w:left="320" w:right="20" w:hanging="316"/>
        <w:spacing w:after="0" w:line="258" w:lineRule="auto"/>
        <w:tabs>
          <w:tab w:leader="none" w:pos="3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the amounts reported for the NEOs as a group, excluding any NEO who served as Chief Executive Officer during any portion of the applicable year, in the “Total” column of the Summary Compensation Table in each applicable year. The names of each of the NEOs included for purposes of calculating these amounts are (i) for 2023, Mr. Williams and Mr. Ivascu, (ii) for 2022, Mr. Williams and Mr. Ivascu and (iii) for 2021, Mr. Lux and Mr. Williams.</w:t>
      </w:r>
    </w:p>
    <w:p>
      <w:pPr>
        <w:spacing w:after="0" w:line="81" w:lineRule="exact"/>
        <w:rPr>
          <w:rFonts w:ascii="Times New Roman" w:cs="Times New Roman" w:eastAsia="Times New Roman" w:hAnsi="Times New Roman"/>
          <w:sz w:val="14"/>
          <w:szCs w:val="14"/>
          <w:color w:val="auto"/>
        </w:rPr>
      </w:pPr>
    </w:p>
    <w:p>
      <w:pPr>
        <w:jc w:val="both"/>
        <w:ind w:left="320" w:right="20" w:hanging="316"/>
        <w:spacing w:after="0" w:line="268" w:lineRule="auto"/>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amount of “compensation actually paid” to the NEOs as a group, as listed in footnote 3, as computed in accordance with SEC rules and does not reflect the actual amount of compensation earned by or paid during the applicable year. In accordance with SEC rules, the following adjustments were made to total compensation determine the compensation actually paid for 2023. The valuation assumptions used to calculate fair values did not materially differ from those disclosed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60"/>
          </w:cols>
          <w:pgMar w:left="320" w:top="1361" w:right="319" w:bottom="1440" w:gutter="0" w:footer="0" w:header="0"/>
        </w:sectPr>
      </w:pPr>
    </w:p>
    <w:bookmarkStart w:id="50" w:name="page51"/>
    <w:bookmarkEnd w:id="50"/>
    <w:p>
      <w:pPr>
        <w:spacing w:after="0" w:line="194"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7760" w:type="dxa"/>
            <w:vAlign w:val="bottom"/>
            <w:tcBorders>
              <w:top w:val="single" w:sz="8" w:color="auto"/>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7"/>
                <w:szCs w:val="17"/>
                <w:b w:val="1"/>
                <w:bCs w:val="1"/>
                <w:color w:val="FFFFFF"/>
              </w:rPr>
              <w:t>Average Non-PEO NEOs</w:t>
            </w:r>
          </w:p>
        </w:tc>
        <w:tc>
          <w:tcPr>
            <w:tcW w:w="2760" w:type="dxa"/>
            <w:vAlign w:val="bottom"/>
            <w:tcBorders>
              <w:top w:val="single" w:sz="8" w:color="auto"/>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7"/>
                <w:szCs w:val="17"/>
                <w:b w:val="1"/>
                <w:bCs w:val="1"/>
                <w:color w:val="FFFFFF"/>
              </w:rPr>
              <w:t>2023 ($)</w:t>
            </w:r>
          </w:p>
        </w:tc>
      </w:tr>
      <w:tr>
        <w:trPr>
          <w:trHeight w:val="248"/>
        </w:trPr>
        <w:tc>
          <w:tcPr>
            <w:tcW w:w="7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Summary Compensation Table Total</w:t>
            </w:r>
          </w:p>
        </w:tc>
        <w:tc>
          <w:tcPr>
            <w:tcW w:w="2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1,963,630</w:t>
            </w:r>
          </w:p>
        </w:tc>
      </w:tr>
      <w:tr>
        <w:trPr>
          <w:trHeight w:val="227"/>
        </w:trPr>
        <w:tc>
          <w:tcPr>
            <w:tcW w:w="776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Less, value of Stock Awards reported in Summary Compensation Table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(1,262,844)</w:t>
            </w:r>
          </w:p>
        </w:tc>
      </w:tr>
      <w:tr>
        <w:trPr>
          <w:trHeight w:val="21"/>
        </w:trPr>
        <w:tc>
          <w:tcPr>
            <w:tcW w:w="7760" w:type="dxa"/>
            <w:vAlign w:val="bottom"/>
            <w:tcBorders>
              <w:left w:val="single" w:sz="8" w:color="auto"/>
            </w:tcBorders>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r>
      <w:tr>
        <w:trPr>
          <w:trHeight w:val="228"/>
        </w:trPr>
        <w:tc>
          <w:tcPr>
            <w:tcW w:w="7760" w:type="dxa"/>
            <w:vAlign w:val="bottom"/>
            <w:tcBorders>
              <w:left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Plus, year-end fair value of outstanding and unvested equity awards granted in the year</w:t>
            </w:r>
          </w:p>
        </w:tc>
        <w:tc>
          <w:tcPr>
            <w:tcW w:w="2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595,065</w:t>
            </w:r>
          </w:p>
        </w:tc>
      </w:tr>
      <w:tr>
        <w:trPr>
          <w:trHeight w:val="190"/>
        </w:trPr>
        <w:tc>
          <w:tcPr>
            <w:tcW w:w="7760" w:type="dxa"/>
            <w:vAlign w:val="bottom"/>
            <w:tcBorders>
              <w:left w:val="single" w:sz="8" w:color="auto"/>
            </w:tcBorders>
          </w:tcPr>
          <w:p>
            <w:pPr>
              <w:ind w:left="220"/>
              <w:spacing w:after="0" w:line="190" w:lineRule="exact"/>
              <w:rPr>
                <w:sz w:val="20"/>
                <w:szCs w:val="20"/>
                <w:color w:val="auto"/>
              </w:rPr>
            </w:pPr>
            <w:r>
              <w:rPr>
                <w:rFonts w:ascii="Times New Roman" w:cs="Times New Roman" w:eastAsia="Times New Roman" w:hAnsi="Times New Roman"/>
                <w:sz w:val="17"/>
                <w:szCs w:val="17"/>
                <w:color w:val="auto"/>
              </w:rPr>
              <w:t>Plus (less), year over year change in fair value of outstanding and unvested equity awards granted in prior</w:t>
            </w:r>
          </w:p>
        </w:tc>
        <w:tc>
          <w:tcPr>
            <w:tcW w:w="276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(232,098)</w:t>
            </w:r>
          </w:p>
        </w:tc>
      </w:tr>
      <w:tr>
        <w:trPr>
          <w:trHeight w:val="227"/>
        </w:trPr>
        <w:tc>
          <w:tcPr>
            <w:tcW w:w="7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years</w:t>
            </w:r>
          </w:p>
        </w:tc>
        <w:tc>
          <w:tcPr>
            <w:tcW w:w="2760" w:type="dxa"/>
            <w:vAlign w:val="bottom"/>
            <w:tcBorders>
              <w:right w:val="single" w:sz="8" w:color="auto"/>
            </w:tcBorders>
          </w:tcPr>
          <w:p>
            <w:pPr>
              <w:spacing w:after="0"/>
              <w:rPr>
                <w:sz w:val="19"/>
                <w:szCs w:val="19"/>
                <w:color w:val="auto"/>
              </w:rPr>
            </w:pPr>
          </w:p>
        </w:tc>
      </w:tr>
      <w:tr>
        <w:trPr>
          <w:trHeight w:val="26"/>
        </w:trPr>
        <w:tc>
          <w:tcPr>
            <w:tcW w:w="7760" w:type="dxa"/>
            <w:vAlign w:val="bottom"/>
            <w:tcBorders>
              <w:left w:val="single" w:sz="8" w:color="auto"/>
            </w:tcBorders>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r>
      <w:tr>
        <w:trPr>
          <w:trHeight w:val="190"/>
        </w:trPr>
        <w:tc>
          <w:tcPr>
            <w:tcW w:w="7760" w:type="dxa"/>
            <w:vAlign w:val="bottom"/>
            <w:tcBorders>
              <w:left w:val="single" w:sz="8" w:color="auto"/>
            </w:tcBorders>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Plus (less), change in fair value from last day of prior fiscal year to vesting date for equity awards granted</w:t>
            </w:r>
          </w:p>
        </w:tc>
        <w:tc>
          <w:tcPr>
            <w:tcW w:w="2760" w:type="dxa"/>
            <w:vAlign w:val="bottom"/>
            <w:tcBorders>
              <w:right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39,746</w:t>
            </w:r>
          </w:p>
        </w:tc>
      </w:tr>
      <w:tr>
        <w:trPr>
          <w:trHeight w:val="227"/>
        </w:trPr>
        <w:tc>
          <w:tcPr>
            <w:tcW w:w="7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 prior years that vested in the year</w:t>
            </w:r>
          </w:p>
        </w:tc>
        <w:tc>
          <w:tcPr>
            <w:tcW w:w="2760" w:type="dxa"/>
            <w:vAlign w:val="bottom"/>
            <w:tcBorders>
              <w:right w:val="single" w:sz="8" w:color="auto"/>
            </w:tcBorders>
            <w:shd w:val="clear" w:color="auto" w:fill="CCEEFF"/>
          </w:tcPr>
          <w:p>
            <w:pPr>
              <w:spacing w:after="0"/>
              <w:rPr>
                <w:sz w:val="19"/>
                <w:szCs w:val="19"/>
                <w:color w:val="auto"/>
              </w:rPr>
            </w:pPr>
          </w:p>
        </w:tc>
      </w:tr>
      <w:tr>
        <w:trPr>
          <w:trHeight w:val="254"/>
        </w:trPr>
        <w:tc>
          <w:tcPr>
            <w:tcW w:w="77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Compensation Actually Paid to Non-PEO NEOs</w:t>
            </w:r>
          </w:p>
        </w:tc>
        <w:tc>
          <w:tcPr>
            <w:tcW w:w="2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1,103,499</w:t>
            </w:r>
          </w:p>
        </w:tc>
      </w:tr>
      <w:tr>
        <w:trPr>
          <w:trHeight w:val="20"/>
        </w:trPr>
        <w:tc>
          <w:tcPr>
            <w:tcW w:w="776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tcBorders>
              <w:right w:val="single" w:sz="8" w:color="auto"/>
            </w:tcBorders>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both"/>
        <w:ind w:left="320" w:hanging="316"/>
        <w:spacing w:after="0" w:line="258" w:lineRule="auto"/>
        <w:tabs>
          <w:tab w:leader="none" w:pos="32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(a) the sum of (i) the cumulative amount of dividends for the measurement period, assuming dividend reinvestment, and (ii) the difference between the Company’s share price at the end of each fiscal year shown and the beginning of the measurement period, and the beginning of the measurement period by (b) the Company’s share price at the beginning of the measurement period. The beginning of the measurement period for each year in the table is December 31, 2020.</w:t>
      </w:r>
    </w:p>
    <w:p>
      <w:pPr>
        <w:spacing w:after="0" w:line="81"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the Company’s audited financial statements for the applicable year.</w:t>
      </w:r>
    </w:p>
    <w:p>
      <w:pPr>
        <w:spacing w:after="0" w:line="113" w:lineRule="exact"/>
        <w:rPr>
          <w:rFonts w:ascii="Times New Roman" w:cs="Times New Roman" w:eastAsia="Times New Roman" w:hAnsi="Times New Roman"/>
          <w:sz w:val="14"/>
          <w:szCs w:val="14"/>
          <w:color w:val="auto"/>
        </w:rPr>
      </w:pPr>
    </w:p>
    <w:p>
      <w:pPr>
        <w:ind w:left="320" w:hanging="316"/>
        <w:spacing w:after="0" w:line="284" w:lineRule="auto"/>
        <w:tabs>
          <w:tab w:leader="none" w:pos="33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Gaut did not serve as a Chief Executive Officer during any portion of 2023 and was not an NEO for such year. For 2021, Mr. Lux is included as part of the “Non-PEO NEOs,” as he did not serve as Chief Executive Officer during any portion of 2021.</w:t>
      </w:r>
    </w:p>
    <w:p>
      <w:pPr>
        <w:spacing w:after="0" w:line="49" w:lineRule="exact"/>
        <w:rPr>
          <w:rFonts w:ascii="Times New Roman" w:cs="Times New Roman" w:eastAsia="Times New Roman" w:hAnsi="Times New Roman"/>
          <w:sz w:val="14"/>
          <w:szCs w:val="14"/>
          <w:color w:val="auto"/>
        </w:rPr>
      </w:pPr>
    </w:p>
    <w:p>
      <w:pPr>
        <w:ind w:left="320" w:hanging="316"/>
        <w:spacing w:after="0" w:line="264" w:lineRule="auto"/>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previously reported as the Summary Compensation Table Total and Compensation Actually Paid for 2022 in our 2022 proxy statement contained an inadvertent mathematical error, which has been corrected herein.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Analysis of the Information Presented in the Pay Versus Performance Table</w:t>
      </w:r>
    </w:p>
    <w:p>
      <w:pPr>
        <w:spacing w:after="0" w:line="12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described in more detail in “Executive Compensation” above, the Company’s executive compensation program reflects a variable pay-for-performance philosophy. While the Company utilizes several performance measures to align executive compensation with Company performance, all of those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 The following charts set forth the relationship between compensation actually paid and the Company’s cumulative TSR and between compensation actually paid and the Company’s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951230</wp:posOffset>
            </wp:positionV>
            <wp:extent cx="5420995" cy="6614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20995" cy="661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9019"/>
          </w:cols>
          <w:pgMar w:left="1440" w:top="1440" w:right="1440" w:bottom="1440" w:gutter="0" w:footer="0" w:header="0"/>
        </w:sectPr>
      </w:pPr>
    </w:p>
    <w:bookmarkStart w:id="52" w:name="page53"/>
    <w:bookmarkEnd w:id="52"/>
    <w:p>
      <w:pPr>
        <w:jc w:val="center"/>
        <w:spacing w:after="0" w:line="280" w:lineRule="auto"/>
        <w:rPr>
          <w:sz w:val="20"/>
          <w:szCs w:val="20"/>
          <w:color w:val="auto"/>
        </w:rPr>
      </w:pPr>
      <w:r>
        <w:rPr>
          <w:rFonts w:ascii="Times New Roman" w:cs="Times New Roman" w:eastAsia="Times New Roman" w:hAnsi="Times New Roman"/>
          <w:sz w:val="21"/>
          <w:szCs w:val="21"/>
          <w:b w:val="1"/>
          <w:bCs w:val="1"/>
          <w:color w:val="auto"/>
        </w:rPr>
        <w:t>PROPOSAL 3: APPROVAL OF AMENDMENT TO SECOND AMENDED AND RESTATED 2016 STOCK AND INCENTIVE PLAN</w:t>
      </w:r>
    </w:p>
    <w:p>
      <w:pPr>
        <w:spacing w:after="0" w:line="3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February 16, 2024, our board of directors unanimously adopted a resolution to submit to a vote of our stockholders the Second Amendment (the “Plan Amendment”) to the Second Amended and Restated 2016 Stock and Incentive Plan (as amended by the First Amendment thereto, the “2016 Plan“). The 2016 Plan, as proposed to be amended by the Second Amendment (the “Amended 2016 Plan”) is set forth in Appendix B to this proxy statement. The 2016 Plan was most recently amended and approved by stockholders at the 2022 annual meeting to authorize for grant an additional 400,000 shares. Our annual long-term incentive program is a key tool for attracting and retaining top executive talent. The Second Amendment replenishes the pool of shares of our common stock available for issuance by authorizing an additional 800,000 shares.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 xml:space="preserve">If a quorum is present at the annual meeting, approval of this proposal requires the affirmative vote of at least a majority of the votes cast on the matter. If stockholders do not approve the Plan Amendment, FET will continue to have the authority to grant awards under the 2016 Plan until the existing pool of shares is depleted. </w:t>
      </w:r>
      <w:r>
        <w:rPr>
          <w:rFonts w:ascii="Times New Roman" w:cs="Times New Roman" w:eastAsia="Times New Roman" w:hAnsi="Times New Roman"/>
          <w:sz w:val="17"/>
          <w:szCs w:val="17"/>
          <w:b w:val="1"/>
          <w:bCs w:val="1"/>
          <w:color w:val="auto"/>
        </w:rPr>
        <w:t>Your board of directors unanimously recommends a vote "FOR" approval of the Plan Amendment, taking into account the following:</w:t>
      </w:r>
    </w:p>
    <w:p>
      <w:pPr>
        <w:spacing w:after="0" w:line="190" w:lineRule="exact"/>
        <w:rPr>
          <w:sz w:val="20"/>
          <w:szCs w:val="20"/>
          <w:color w:val="auto"/>
        </w:rPr>
      </w:pPr>
    </w:p>
    <w:p>
      <w:pPr>
        <w:ind w:left="640" w:hanging="322"/>
        <w:spacing w:after="0" w:line="267"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FET believes that its employees and directors are among the best in the industry and that equity-based compensation is critical to their recruitment and retention.</w:t>
      </w:r>
    </w:p>
    <w:p>
      <w:pPr>
        <w:ind w:left="640" w:hanging="322"/>
        <w:spacing w:after="0" w:line="256"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and Human Capital Committee believes that awards under the Amended 2016 Plan are a strategically favorable means of assuring employee, director and consultant alignment with stockholders.</w:t>
      </w:r>
    </w:p>
    <w:p>
      <w:pPr>
        <w:ind w:left="640" w:hanging="322"/>
        <w:spacing w:after="0" w:line="272"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FET believes that awards under the Amended 2016 Plan support our “pay for performance” philosophy and motivate employees, directors and consultants both to achieve short-term business goals and to enhance long-term stockholder value.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Important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2016 Plan Best Practices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Amended 2016 Plan includes a number of governance best practices, including the following features:</w:t>
      </w:r>
    </w:p>
    <w:p>
      <w:pPr>
        <w:spacing w:after="0" w:line="116" w:lineRule="exact"/>
        <w:rPr>
          <w:sz w:val="20"/>
          <w:szCs w:val="20"/>
          <w:color w:val="auto"/>
        </w:rPr>
      </w:pPr>
    </w:p>
    <w:p>
      <w:pPr>
        <w:jc w:val="both"/>
        <w:ind w:left="940" w:hanging="348"/>
        <w:spacing w:after="0" w:line="27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Individual Grant Limitations</w:t>
      </w:r>
      <w:r>
        <w:rPr>
          <w:rFonts w:ascii="Times New Roman" w:cs="Times New Roman" w:eastAsia="Times New Roman" w:hAnsi="Times New Roman"/>
          <w:sz w:val="17"/>
          <w:szCs w:val="17"/>
          <w:color w:val="auto"/>
        </w:rPr>
        <w:t>: The maximum shares that may be subject to awards denominated in shares of common stock per individual in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is 200,000 and, for awards denominated in cash, the maximum annual value per individual on the date of grant is $20,000,000. Additionally, no individual may receive during any year options or stock appreciation rights that are exercisable for more than 200,000 shares.</w:t>
      </w:r>
    </w:p>
    <w:p>
      <w:pPr>
        <w:spacing w:after="0" w:line="54" w:lineRule="exact"/>
        <w:rPr>
          <w:rFonts w:ascii="Times New Roman" w:cs="Times New Roman" w:eastAsia="Times New Roman" w:hAnsi="Times New Roman"/>
          <w:sz w:val="17"/>
          <w:szCs w:val="17"/>
          <w:color w:val="auto"/>
        </w:rPr>
      </w:pPr>
    </w:p>
    <w:p>
      <w:pPr>
        <w:ind w:left="940" w:hanging="348"/>
        <w:spacing w:after="0" w:line="29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Director Compensation Limit</w:t>
      </w:r>
      <w:r>
        <w:rPr>
          <w:rFonts w:ascii="Times New Roman" w:cs="Times New Roman" w:eastAsia="Times New Roman" w:hAnsi="Times New Roman"/>
          <w:sz w:val="17"/>
          <w:szCs w:val="17"/>
          <w:color w:val="auto"/>
        </w:rPr>
        <w:t>: The total grant date value of equity awards and cash compensation granted under the Amended 2016 Plan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to non-employee directors is limited to $950,000 per year.</w:t>
      </w:r>
    </w:p>
    <w:p>
      <w:pPr>
        <w:spacing w:after="0" w:line="38"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Prohibition on Liberal Share Recycling</w:t>
      </w:r>
      <w:r>
        <w:rPr>
          <w:rFonts w:ascii="Times New Roman" w:cs="Times New Roman" w:eastAsia="Times New Roman" w:hAnsi="Times New Roman"/>
          <w:sz w:val="17"/>
          <w:szCs w:val="17"/>
          <w:color w:val="auto"/>
        </w:rPr>
        <w:t>: The Amended 2016 Plan prohibits liberal share recycling for all awards.</w:t>
      </w:r>
    </w:p>
    <w:p>
      <w:pPr>
        <w:spacing w:after="0" w:line="117" w:lineRule="exact"/>
        <w:rPr>
          <w:rFonts w:ascii="Times New Roman" w:cs="Times New Roman" w:eastAsia="Times New Roman" w:hAnsi="Times New Roman"/>
          <w:sz w:val="17"/>
          <w:szCs w:val="17"/>
          <w:color w:val="auto"/>
        </w:rPr>
      </w:pPr>
    </w:p>
    <w:p>
      <w:pPr>
        <w:ind w:left="940" w:hanging="348"/>
        <w:spacing w:after="0" w:line="29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Payment of Dividends and Dividend Equivalents on Unvested Awards</w:t>
      </w:r>
      <w:r>
        <w:rPr>
          <w:rFonts w:ascii="Times New Roman" w:cs="Times New Roman" w:eastAsia="Times New Roman" w:hAnsi="Times New Roman"/>
          <w:sz w:val="17"/>
          <w:szCs w:val="17"/>
          <w:color w:val="auto"/>
        </w:rPr>
        <w:t>: No dividends or dividend equivalents may be paid on any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Amended 2016 Plan prior to the vesting of such award.</w:t>
      </w:r>
    </w:p>
    <w:p>
      <w:pPr>
        <w:spacing w:after="0" w:line="38" w:lineRule="exact"/>
        <w:rPr>
          <w:rFonts w:ascii="Times New Roman" w:cs="Times New Roman" w:eastAsia="Times New Roman" w:hAnsi="Times New Roman"/>
          <w:sz w:val="17"/>
          <w:szCs w:val="17"/>
          <w:color w:val="auto"/>
        </w:rPr>
      </w:pPr>
    </w:p>
    <w:p>
      <w:pPr>
        <w:ind w:left="940" w:hanging="348"/>
        <w:spacing w:after="0" w:line="29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Minimum Vesting Requirement</w:t>
      </w:r>
      <w:r>
        <w:rPr>
          <w:rFonts w:ascii="Times New Roman" w:cs="Times New Roman" w:eastAsia="Times New Roman" w:hAnsi="Times New Roman"/>
          <w:sz w:val="17"/>
          <w:szCs w:val="17"/>
          <w:color w:val="auto"/>
        </w:rPr>
        <w:t>: Awards under the Amended 2016 Plan payable in shares of common stock are subject to a minimum restricted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or vesting period of one year, provided that 5% of shares available for awards are not subject to such minimum vesting or restriction period.</w:t>
      </w:r>
    </w:p>
    <w:p>
      <w:pPr>
        <w:spacing w:after="0" w:line="38" w:lineRule="exact"/>
        <w:rPr>
          <w:rFonts w:ascii="Times New Roman" w:cs="Times New Roman" w:eastAsia="Times New Roman" w:hAnsi="Times New Roman"/>
          <w:sz w:val="17"/>
          <w:szCs w:val="17"/>
          <w:color w:val="auto"/>
        </w:rPr>
      </w:pPr>
    </w:p>
    <w:p>
      <w:pPr>
        <w:ind w:left="940" w:hanging="348"/>
        <w:spacing w:after="0" w:line="29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Prohibition on Repricing</w:t>
      </w:r>
      <w:r>
        <w:rPr>
          <w:rFonts w:ascii="Times New Roman" w:cs="Times New Roman" w:eastAsia="Times New Roman" w:hAnsi="Times New Roman"/>
          <w:sz w:val="17"/>
          <w:szCs w:val="17"/>
          <w:color w:val="auto"/>
        </w:rPr>
        <w:t>: The exercise price of an option or stock appreciation right may not be reduced nor may an option or stock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be exchanged for cash, an option or stock appreciation right with a lower exercise price or a new award without prior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74" w:right="339" w:bottom="1440" w:gutter="0" w:footer="0" w:header="0"/>
        </w:sectPr>
      </w:pPr>
    </w:p>
    <w:bookmarkStart w:id="53" w:name="page54"/>
    <w:bookmarkEnd w:id="53"/>
    <w:p>
      <w:pPr>
        <w:spacing w:after="0" w:line="37" w:lineRule="exact"/>
        <w:rPr>
          <w:sz w:val="20"/>
          <w:szCs w:val="20"/>
          <w:color w:val="auto"/>
        </w:rPr>
      </w:pPr>
    </w:p>
    <w:p>
      <w:pPr>
        <w:ind w:left="940" w:hanging="348"/>
        <w:spacing w:after="0" w:line="29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Exercise Price and Term Limitations</w:t>
      </w:r>
      <w:r>
        <w:rPr>
          <w:rFonts w:ascii="Times New Roman" w:cs="Times New Roman" w:eastAsia="Times New Roman" w:hAnsi="Times New Roman"/>
          <w:sz w:val="17"/>
          <w:szCs w:val="17"/>
          <w:color w:val="auto"/>
        </w:rPr>
        <w:t>: Stock options and stock appreciation rights may not have an exercise price less than fair market value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grant and may not have an exercise period in excess of 10 years.</w:t>
      </w:r>
    </w:p>
    <w:p>
      <w:pPr>
        <w:spacing w:after="0" w:line="38" w:lineRule="exact"/>
        <w:rPr>
          <w:rFonts w:ascii="Times New Roman" w:cs="Times New Roman" w:eastAsia="Times New Roman" w:hAnsi="Times New Roman"/>
          <w:sz w:val="17"/>
          <w:szCs w:val="17"/>
          <w:color w:val="auto"/>
        </w:rPr>
      </w:pPr>
    </w:p>
    <w:p>
      <w:pPr>
        <w:jc w:val="both"/>
        <w:ind w:left="940" w:hanging="348"/>
        <w:spacing w:after="0" w:line="27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Double-Trigger Vesting</w:t>
      </w:r>
      <w:r>
        <w:rPr>
          <w:rFonts w:ascii="Times New Roman" w:cs="Times New Roman" w:eastAsia="Times New Roman" w:hAnsi="Times New Roman"/>
          <w:sz w:val="17"/>
          <w:szCs w:val="17"/>
          <w:color w:val="auto"/>
        </w:rPr>
        <w:t>: The Amended 2016 Plan does not provide for automatic single-trigger vesting upon a change in control; rather,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2016 Plan provides for double trigger vesting such that awards accelerate only if a participant is involuntarily terminated without cause or terminates with good reason within two years after a change in control.</w:t>
      </w:r>
    </w:p>
    <w:p>
      <w:pPr>
        <w:spacing w:after="0" w:line="54" w:lineRule="exact"/>
        <w:rPr>
          <w:rFonts w:ascii="Times New Roman" w:cs="Times New Roman" w:eastAsia="Times New Roman" w:hAnsi="Times New Roman"/>
          <w:sz w:val="17"/>
          <w:szCs w:val="17"/>
          <w:color w:val="auto"/>
        </w:rPr>
      </w:pPr>
    </w:p>
    <w:p>
      <w:pPr>
        <w:jc w:val="both"/>
        <w:ind w:left="940" w:hanging="348"/>
        <w:spacing w:after="0" w:line="29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Awards to executive officers under the Amended 2016 Plan are subject to a recoupment or clawback feature that is tied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restatement resulting from fraud or willful misconduct as well as to clawback pursuant to the terms of FET’s Rule 10D-1 clawback policy.</w:t>
      </w:r>
    </w:p>
    <w:p>
      <w:pPr>
        <w:spacing w:after="0" w:line="38"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 Ownership Requirements</w:t>
      </w:r>
      <w:r>
        <w:rPr>
          <w:rFonts w:ascii="Times New Roman" w:cs="Times New Roman" w:eastAsia="Times New Roman" w:hAnsi="Times New Roman"/>
          <w:sz w:val="17"/>
          <w:szCs w:val="17"/>
          <w:color w:val="auto"/>
        </w:rPr>
        <w:t>: Awards under the Amended 2016 Plan are subject to FET’s Stock Ownership Requirements Policy.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 Grant Practices</w:t>
      </w:r>
    </w:p>
    <w:p>
      <w:pPr>
        <w:spacing w:after="0" w:line="12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is a summary of all awards granted and performance-based awards earned over the last three fiscal years (excluding all cash-denominated and cash-settled performance-based awards). No stock options or stock appreciation rights were granted during the last three fiscal years.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020" w:type="dxa"/>
            <w:vAlign w:val="bottom"/>
            <w:tcBorders>
              <w:top w:val="single" w:sz="8" w:color="auto"/>
              <w:lef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Fiscal Year</w:t>
            </w:r>
          </w:p>
        </w:tc>
        <w:tc>
          <w:tcPr>
            <w:tcW w:w="2880" w:type="dxa"/>
            <w:vAlign w:val="bottom"/>
            <w:tcBorders>
              <w:top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rPr>
              <w:t>Weighted Average Common Stock</w:t>
            </w:r>
          </w:p>
        </w:tc>
        <w:tc>
          <w:tcPr>
            <w:tcW w:w="2360" w:type="dxa"/>
            <w:vAlign w:val="bottom"/>
            <w:tcBorders>
              <w:top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rPr>
              <w:t>Restricted Stock and RSUs</w:t>
            </w:r>
          </w:p>
        </w:tc>
        <w:tc>
          <w:tcPr>
            <w:tcW w:w="2420" w:type="dxa"/>
            <w:vAlign w:val="bottom"/>
            <w:tcBorders>
              <w:top w:val="single" w:sz="8" w:color="auto"/>
            </w:tcBorders>
            <w:shd w:val="clear" w:color="auto" w:fill="051E68"/>
          </w:tcPr>
          <w:p>
            <w:pPr>
              <w:ind w:left="180"/>
              <w:spacing w:after="0"/>
              <w:rPr>
                <w:sz w:val="20"/>
                <w:szCs w:val="20"/>
                <w:color w:val="auto"/>
              </w:rPr>
            </w:pPr>
            <w:r>
              <w:rPr>
                <w:rFonts w:ascii="Times New Roman" w:cs="Times New Roman" w:eastAsia="Times New Roman" w:hAnsi="Times New Roman"/>
                <w:sz w:val="17"/>
                <w:szCs w:val="17"/>
                <w:b w:val="1"/>
                <w:bCs w:val="1"/>
                <w:color w:val="FFFFFF"/>
              </w:rPr>
              <w:t>Performance Awards Earned</w:t>
            </w:r>
          </w:p>
        </w:tc>
        <w:tc>
          <w:tcPr>
            <w:tcW w:w="2380" w:type="dxa"/>
            <w:vAlign w:val="bottom"/>
            <w:tcBorders>
              <w:top w:val="single" w:sz="8" w:color="auto"/>
              <w:right w:val="single" w:sz="8" w:color="auto"/>
            </w:tcBorders>
            <w:shd w:val="clear" w:color="auto" w:fill="051E68"/>
          </w:tcPr>
          <w:p>
            <w:pPr>
              <w:ind w:left="60"/>
              <w:spacing w:after="0"/>
              <w:rPr>
                <w:sz w:val="20"/>
                <w:szCs w:val="20"/>
                <w:color w:val="auto"/>
              </w:rPr>
            </w:pPr>
            <w:r>
              <w:rPr>
                <w:rFonts w:ascii="Times New Roman" w:cs="Times New Roman" w:eastAsia="Times New Roman" w:hAnsi="Times New Roman"/>
                <w:sz w:val="17"/>
                <w:szCs w:val="17"/>
                <w:b w:val="1"/>
                <w:bCs w:val="1"/>
                <w:color w:val="FFFFFF"/>
              </w:rPr>
              <w:t>Performance Awards Granted</w:t>
            </w:r>
          </w:p>
        </w:tc>
      </w:tr>
      <w:tr>
        <w:trPr>
          <w:trHeight w:val="258"/>
        </w:trPr>
        <w:tc>
          <w:tcPr>
            <w:tcW w:w="1020" w:type="dxa"/>
            <w:vAlign w:val="bottom"/>
            <w:tcBorders>
              <w:left w:val="single" w:sz="8" w:color="auto"/>
            </w:tcBorders>
            <w:shd w:val="clear" w:color="auto" w:fill="051E68"/>
          </w:tcPr>
          <w:p>
            <w:pPr>
              <w:spacing w:after="0"/>
              <w:rPr>
                <w:sz w:val="22"/>
                <w:szCs w:val="22"/>
                <w:color w:val="auto"/>
              </w:rPr>
            </w:pPr>
          </w:p>
        </w:tc>
        <w:tc>
          <w:tcPr>
            <w:tcW w:w="2880" w:type="dxa"/>
            <w:vAlign w:val="bottom"/>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rPr>
              <w:t>Outstanding</w:t>
            </w:r>
          </w:p>
        </w:tc>
        <w:tc>
          <w:tcPr>
            <w:tcW w:w="2360" w:type="dxa"/>
            <w:vAlign w:val="bottom"/>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 xml:space="preserve">Granted </w:t>
            </w:r>
            <w:r>
              <w:rPr>
                <w:rFonts w:ascii="Times New Roman" w:cs="Times New Roman" w:eastAsia="Times New Roman" w:hAnsi="Times New Roman"/>
                <w:sz w:val="22"/>
                <w:szCs w:val="22"/>
                <w:b w:val="1"/>
                <w:bCs w:val="1"/>
                <w:color w:val="FFFFFF"/>
                <w:w w:val="99"/>
                <w:vertAlign w:val="superscript"/>
              </w:rPr>
              <w:t>(1)</w:t>
            </w:r>
          </w:p>
        </w:tc>
        <w:tc>
          <w:tcPr>
            <w:tcW w:w="2420" w:type="dxa"/>
            <w:vAlign w:val="bottom"/>
            <w:shd w:val="clear" w:color="auto" w:fill="051E68"/>
          </w:tcPr>
          <w:p>
            <w:pPr>
              <w:spacing w:after="0"/>
              <w:rPr>
                <w:sz w:val="22"/>
                <w:szCs w:val="22"/>
                <w:color w:val="auto"/>
              </w:rPr>
            </w:pPr>
          </w:p>
        </w:tc>
        <w:tc>
          <w:tcPr>
            <w:tcW w:w="2380" w:type="dxa"/>
            <w:vAlign w:val="bottom"/>
            <w:tcBorders>
              <w:right w:val="single" w:sz="8" w:color="auto"/>
            </w:tcBorders>
            <w:shd w:val="clear" w:color="auto" w:fill="051E68"/>
          </w:tcPr>
          <w:p>
            <w:pPr>
              <w:spacing w:after="0"/>
              <w:rPr>
                <w:sz w:val="22"/>
                <w:szCs w:val="22"/>
                <w:color w:val="auto"/>
              </w:rPr>
            </w:pPr>
          </w:p>
        </w:tc>
      </w:tr>
      <w:tr>
        <w:trPr>
          <w:trHeight w:val="228"/>
        </w:trPr>
        <w:tc>
          <w:tcPr>
            <w:tcW w:w="10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10,212,739</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86,912</w:t>
            </w:r>
          </w:p>
        </w:tc>
        <w:tc>
          <w:tcPr>
            <w:tcW w:w="242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w w:val="98"/>
              </w:rPr>
              <w:t>33,704</w:t>
            </w:r>
          </w:p>
        </w:tc>
        <w:tc>
          <w:tcPr>
            <w:tcW w:w="2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86,912</w:t>
            </w:r>
          </w:p>
        </w:tc>
      </w:tr>
      <w:tr>
        <w:trPr>
          <w:trHeight w:val="227"/>
        </w:trPr>
        <w:tc>
          <w:tcPr>
            <w:tcW w:w="10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5,746,566</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134,196</w:t>
            </w:r>
          </w:p>
        </w:tc>
        <w:tc>
          <w:tcPr>
            <w:tcW w:w="242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w w:val="98"/>
              </w:rPr>
              <w:t>11,272</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101,111</w:t>
            </w:r>
          </w:p>
        </w:tc>
      </w:tr>
      <w:tr>
        <w:trPr>
          <w:trHeight w:val="47"/>
        </w:trPr>
        <w:tc>
          <w:tcPr>
            <w:tcW w:w="1020" w:type="dxa"/>
            <w:vAlign w:val="bottom"/>
            <w:tcBorders>
              <w:left w:val="single" w:sz="8" w:color="auto"/>
            </w:tcBorders>
          </w:tcPr>
          <w:p>
            <w:pPr>
              <w:spacing w:after="0"/>
              <w:rPr>
                <w:sz w:val="4"/>
                <w:szCs w:val="4"/>
                <w:color w:val="auto"/>
              </w:rPr>
            </w:pPr>
          </w:p>
        </w:tc>
        <w:tc>
          <w:tcPr>
            <w:tcW w:w="28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r>
      <w:tr>
        <w:trPr>
          <w:trHeight w:val="228"/>
        </w:trPr>
        <w:tc>
          <w:tcPr>
            <w:tcW w:w="10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5,643,365</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247,678</w:t>
            </w:r>
          </w:p>
        </w:tc>
        <w:tc>
          <w:tcPr>
            <w:tcW w:w="242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132</w:t>
            </w:r>
          </w:p>
        </w:tc>
        <w:tc>
          <w:tcPr>
            <w:tcW w:w="2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020" w:type="dxa"/>
            <w:vAlign w:val="bottom"/>
            <w:tcBorders>
              <w:left w:val="single" w:sz="8" w:color="auto"/>
            </w:tcBorders>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1" w:lineRule="exact"/>
        <w:rPr>
          <w:sz w:val="20"/>
          <w:szCs w:val="20"/>
          <w:color w:val="auto"/>
        </w:rPr>
      </w:pPr>
    </w:p>
    <w:p>
      <w:pPr>
        <w:ind w:left="160" w:hanging="156"/>
        <w:spacing w:after="0"/>
        <w:tabs>
          <w:tab w:leader="none" w:pos="160"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2022 grants include awards settled in cash and contingent upon satisfaction of specified performance measures.</w:t>
      </w:r>
    </w:p>
    <w:p>
      <w:pPr>
        <w:spacing w:after="0" w:line="83"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color w:val="auto"/>
        </w:rPr>
        <w:t>As of March 15, 2024, 59,376 shares remained available for issuance pursuant to awards that could be granted under the 2016 Plan after that date. We had 10,194 vested and unvested stock options outstanding with a weighted average exercise price of $273.86 and a weighted average remaining term of 2.40 years, and 556,461 outstanding full value awards granted under the 2016 Plan scheduled to be settled in stock (including restricted stock, RSUs, and stock-settled phantom stock units and performance awards). As of such date, we also had 39,000 shares subject to outstanding inducement awards of RSUs granted in January 2024 outside the 2016 Plan. In addition, as of March 15, 2024, 12,283,670 shares of our common stock were outstanding, and the closing price of our common stock was $18.20. We do not have any convertible equity or warrants outstanding. All share numbers that appear in this proposal reflect the 1-for-20 reverse stock split that was completed on November 9, 2020.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Summary of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following summary of the Amended 2016 Plan is qualified by reference to the full text thereof, which is attached as Appendix B to this proxy statement.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Reserve</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aggregate number of shares of common stock reserved for awards under the Amended 2016 Plan is 1,555,701 shares. To the extent that an award is forfeited, cancelled, settled in cash, expires unexercised, lapses or the rights of a holder otherwise terminate, shares of common stock subject to such award will again become available for awards under the Amended 2016 Plan. Notwithstanding the forgoing, shares of common stock surrendered in payment of the exercise price or purchase price of an award, shares withheld for payment of applicable taxes associated with awards, and shares reacquired in the open market and otherwise using the proceeds of the exercise of options will not again be available for awards under the Amended 2016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Award Limitations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Awards under the Amended 2016 Plan are subject to the following maximum limitations:</w:t>
      </w:r>
    </w:p>
    <w:p>
      <w:pPr>
        <w:spacing w:after="0" w:line="118" w:lineRule="exact"/>
        <w:rPr>
          <w:sz w:val="20"/>
          <w:szCs w:val="20"/>
          <w:color w:val="auto"/>
        </w:rPr>
      </w:pPr>
    </w:p>
    <w:p>
      <w:pPr>
        <w:ind w:left="940" w:hanging="34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receive in any one calendar year awards denominated in shares with respect to more than 200,000 shares of common stock.</w:t>
      </w:r>
    </w:p>
    <w:p>
      <w:pPr>
        <w:spacing w:after="0" w:line="117" w:lineRule="exact"/>
        <w:rPr>
          <w:rFonts w:ascii="Times New Roman" w:cs="Times New Roman" w:eastAsia="Times New Roman" w:hAnsi="Times New Roman"/>
          <w:sz w:val="17"/>
          <w:szCs w:val="17"/>
          <w:color w:val="auto"/>
        </w:rPr>
      </w:pPr>
    </w:p>
    <w:p>
      <w:pPr>
        <w:ind w:left="940" w:hanging="348"/>
        <w:spacing w:after="0" w:line="26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receive in any one calendar year options or stock appreciation rights with respect to more than 200,000 shares of common stock.</w:t>
      </w:r>
    </w:p>
    <w:p>
      <w:pPr>
        <w:spacing w:after="0" w:line="304"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be granted in any one calendar year cash awards having a grant date value in excess of $20,000,000.</w:t>
      </w:r>
    </w:p>
    <w:p>
      <w:pPr>
        <w:spacing w:after="0" w:line="117" w:lineRule="exact"/>
        <w:rPr>
          <w:rFonts w:ascii="Times New Roman" w:cs="Times New Roman" w:eastAsia="Times New Roman" w:hAnsi="Times New Roman"/>
          <w:sz w:val="17"/>
          <w:szCs w:val="17"/>
          <w:color w:val="auto"/>
        </w:rPr>
      </w:pPr>
    </w:p>
    <w:p>
      <w:pPr>
        <w:ind w:left="940" w:hanging="34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pursuant to a performance award will be paid no later than 10 years after the grant date of such award.</w:t>
      </w:r>
    </w:p>
    <w:p>
      <w:pPr>
        <w:spacing w:after="0" w:line="117" w:lineRule="exact"/>
        <w:rPr>
          <w:rFonts w:ascii="Times New Roman" w:cs="Times New Roman" w:eastAsia="Times New Roman" w:hAnsi="Times New Roman"/>
          <w:sz w:val="17"/>
          <w:szCs w:val="17"/>
          <w:color w:val="auto"/>
        </w:rPr>
      </w:pPr>
    </w:p>
    <w:p>
      <w:pPr>
        <w:ind w:left="940" w:hanging="348"/>
        <w:spacing w:after="0" w:line="295"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non-employee director may be granted, in any one calendar year, awards (valued as of the date of grant) and cash compensation granted under the Amended 2016 Plan or otherwise having an aggregate value in excess of $950,000.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Minimum Vesting Restrictions</w:t>
      </w:r>
    </w:p>
    <w:p>
      <w:pPr>
        <w:spacing w:after="0" w:line="12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Except for awards under the Amended 2016 Plan that are payable solely in cash, all awards under the Amended 2016 Plan are subject to a minimum vesting period of one year from the date of grant. Notwithstanding the forgoing, the one-year minimum vesting provisions do not apply to 5% of the total shares available for awards under the Amended 2016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Policy</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Awards under the Amended 2016 Plan are subject to FET’s Stock Ownership Requirements Policy, as described under “Executive and Director Stock Ownership Requirements” on page 17. The Stock Ownership Requirements Policy requires that our Chief Executive Officer maintain a level of ownership that is greater than or equal to five times his or her annual base salary. In addition, the Stock Ownership Requirements Policy includes similar holding requirements for our executive officers and directors, although at lower multiples of annual salary or retainer. Due to the significant share ownership requirements under the Stock Ownership Requirements Policy, we believe this policy is more effective at aligning the interests of our executive officers and our stockholders than imposing a minimum holding period on awards under the Amended 2016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Eligibility</w:t>
      </w:r>
    </w:p>
    <w:p>
      <w:pPr>
        <w:spacing w:after="0" w:line="12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All employees and consultants of FET and its affiliates and all non-employee directors of FET are eligible for awards under the Amended 2016 Plan. As of March 15, 2024, our seven executive officers, seven non-executive directors, and approximately 1,575 other employees and consultants were eligible to receive awards under the Amended 2016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w:t>
      </w:r>
    </w:p>
    <w:p>
      <w:pPr>
        <w:spacing w:after="0" w:line="12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Amended 2016 Plan is administered by the Compensation and Human Capital Committee of FET’s board of directors or any other committee that may be designated by the board of directors (the board of directors or such designated committee, as applicable, are referred to herein as the “Committee”). The Committee will select the employees, consultants and non-employee directors who will receive awards, determine the time that awards will be granted and the type and terms of awards to be granted, interpret and administer the Amended 2016 Plan, prescribe rules and regulations relating to the Amended 2016 Plan and to make all other determinations necessary or advisable for administering the Amended 2016 Plan. Our Chief Executive Officer may be delegated authority to administer the Amended 2016 Plan, including making awards thereunder, however, neither the board of directors nor the Committee may delegate to any person the authority to grant awards to, or take other action with respect to, participants who are subject to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Awards</w:t>
      </w:r>
    </w:p>
    <w:p>
      <w:pPr>
        <w:spacing w:after="0" w:line="12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Stock options are subject to such terms and conditions as may be established by the Committee and are not inconsistent with the Amended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2016 Plan. The option exercise price cannot be less than the fair market value per share of common stock on the date of grant, and stock options may not be exercised more than 10 years after the date of grant. Stock options granted to employees may be incentive stock options (“ISOs”) under Section 422 of the Code, nonqualified stock options or a combination thereof. Only employees of FET or its parent and subsidiary corporations may be eligible for ISOs. The Committee may not reduce the exercise price of an outstanding option, exchange an option for cash, an option with a lower exercise price or a new award, or take any other action deemed to be a repricing under applicable New York Stock Exchange rules without stockholder approval.</w:t>
      </w:r>
    </w:p>
    <w:p>
      <w:pPr>
        <w:spacing w:after="0" w:line="6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The Committee may grant an award that is in the form of a stock appreciation right (“SAR”). SARs are the right to receive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of common stock or cash equal to the appreciation in value of a specified number of shares of common stock over a particular period of time. SARs are subject to such terms and conditions as may be established by the Committee and are not inconsistent with the Amended 2016 Plan. The SAR exercise price cannot be less than the fair market value per share of common stock on the date of grant, and SARs may not be exercised more than 10 years after the date of grant. The Committee may not reduce the exercise price of an outstanding SAR, exchange a SAR for cash, a SAR with a lower exercise price or a new award, or take any other action deemed to be a repricing under applicable New York Stock Exchange rules without stockholder approval.</w:t>
      </w:r>
    </w:p>
    <w:p>
      <w:pPr>
        <w:spacing w:after="0" w:line="6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i w:val="1"/>
          <w:iCs w:val="1"/>
          <w:color w:val="auto"/>
        </w:rPr>
        <w:t>Restricted Stock Award</w:t>
      </w:r>
      <w:r>
        <w:rPr>
          <w:rFonts w:ascii="Times New Roman" w:cs="Times New Roman" w:eastAsia="Times New Roman" w:hAnsi="Times New Roman"/>
          <w:sz w:val="17"/>
          <w:szCs w:val="17"/>
          <w:color w:val="auto"/>
        </w:rPr>
        <w:t>. The Committee may grant an award of common stock to participants subject to certain forfeiture restrictions. In addition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minimum vesting requirements, such forfeiture restrictions may include (i) the attainment of one or more performance measures, (ii) the attainment of a specified employment term, (iii) the occurrence of an event or (iv) any combination of the above. The Committee has the sole discretion to determine forfeiture restrictions, which may vary among different participants and awards. Participants may receive dividends with respect to common stock subject to a restricted stock award and may vote such shares, but they may not sell, transfer, pledge, or otherwise dispose of the common stock until the forfeiture restrictions have lapsed. Notwithstanding the foregoing, no dividends may be paid to participants prior to the expiration of the forfeiture restrictions on the underlying shares of common stock. A participant is not required to make a payment for common stock received pursuant to a restricted stock award unless required by applicable law.</w:t>
      </w:r>
    </w:p>
    <w:p>
      <w:pPr>
        <w:spacing w:after="0" w:line="28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Restricted Stock Unit Award</w:t>
      </w:r>
      <w:r>
        <w:rPr>
          <w:rFonts w:ascii="Times New Roman" w:cs="Times New Roman" w:eastAsia="Times New Roman" w:hAnsi="Times New Roman"/>
          <w:sz w:val="17"/>
          <w:szCs w:val="17"/>
          <w:color w:val="auto"/>
        </w:rPr>
        <w:t>. The Committee may grant RSUs to participants, which may be payable in cash, shares of common stock or a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thereof. RSUs will be subject to certain forfeiture restrictions. In addition to the minimum vesting requirements, such forfeiture restrictions may include (i) the attainment of one or more performance measures, (ii) the attainment of a specified employment term, (iii) the occurrence of an event or (iv) any combination of the above. The Committee has the sole discretion to determine forfeiture restrictions and it may vary the forfeiture restrictions for each award. In the Committee’s discretion, cash dividend equivalents may be paid on restricted stock unit awards but the recipients of such awards will not otherwise be entitled to the privileges and rights of stockholders unless the award is denominated in common stock and until common stock is delivered to the participants. No dividend equivalents may be paid to participants prior to the expiration of the forfeiture restrictions on the underlying restricted stock units.</w:t>
      </w:r>
    </w:p>
    <w:p>
      <w:pPr>
        <w:spacing w:after="0" w:line="67" w:lineRule="exact"/>
        <w:rPr>
          <w:sz w:val="20"/>
          <w:szCs w:val="20"/>
          <w:color w:val="auto"/>
        </w:rPr>
      </w:pPr>
    </w:p>
    <w:p>
      <w:pPr>
        <w:jc w:val="both"/>
        <w:ind w:firstLine="470"/>
        <w:spacing w:after="0" w:line="297" w:lineRule="auto"/>
        <w:rPr>
          <w:sz w:val="20"/>
          <w:szCs w:val="20"/>
          <w:color w:val="auto"/>
        </w:rPr>
      </w:pPr>
      <w:r>
        <w:rPr>
          <w:rFonts w:ascii="Times New Roman" w:cs="Times New Roman" w:eastAsia="Times New Roman" w:hAnsi="Times New Roman"/>
          <w:sz w:val="17"/>
          <w:szCs w:val="17"/>
          <w:i w:val="1"/>
          <w:iCs w:val="1"/>
          <w:color w:val="auto"/>
        </w:rPr>
        <w:t>Bonus Stock Award</w:t>
      </w:r>
      <w:r>
        <w:rPr>
          <w:rFonts w:ascii="Times New Roman" w:cs="Times New Roman" w:eastAsia="Times New Roman" w:hAnsi="Times New Roman"/>
          <w:sz w:val="17"/>
          <w:szCs w:val="17"/>
          <w:color w:val="auto"/>
        </w:rPr>
        <w:t>. The Committee may grant participants unrestricted shares of common stock on such terms and conditions as the Committee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In its sole discretion, the Committee will determine the purchase price, if any, for common stock issued as a bonus stock award.</w:t>
      </w:r>
    </w:p>
    <w:p>
      <w:pPr>
        <w:spacing w:after="0" w:line="38"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Performance Awards</w:t>
      </w:r>
      <w:r>
        <w:rPr>
          <w:rFonts w:ascii="Times New Roman" w:cs="Times New Roman" w:eastAsia="Times New Roman" w:hAnsi="Times New Roman"/>
          <w:sz w:val="17"/>
          <w:szCs w:val="17"/>
          <w:color w:val="auto"/>
        </w:rPr>
        <w:t>. A performance award is subject to the achievement of one or more performance measures over a performance period each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by the Committee. The Committee may grant a performance award consisting of any type of award or combination of awards. In its discretion, the Committee may adjust the amount of cash or shares payable pursuant to a performance award. A participant is not entitled to the privileges and rights of a stockholder for performance awards covering shares of common stock until such shares are delivered to the participant. The term “performance measures” means the measures established by the Committee that are to be achieved with respect to an award, which may be absolute, relative to one or more other companies, relative to one or more indices, or measured by reference to FET alone, an affiliate, an individual, a business unit of FET or an affiliate, or FET together with one or more of its affiliates.</w:t>
      </w:r>
    </w:p>
    <w:p>
      <w:pPr>
        <w:spacing w:after="0" w:line="67" w:lineRule="exact"/>
        <w:rPr>
          <w:sz w:val="20"/>
          <w:szCs w:val="20"/>
          <w:color w:val="auto"/>
        </w:rPr>
      </w:pPr>
    </w:p>
    <w:p>
      <w:pPr>
        <w:jc w:val="both"/>
        <w:ind w:firstLine="470"/>
        <w:spacing w:after="0" w:line="297" w:lineRule="auto"/>
        <w:rPr>
          <w:sz w:val="20"/>
          <w:szCs w:val="20"/>
          <w:color w:val="auto"/>
        </w:rPr>
      </w:pPr>
      <w:r>
        <w:rPr>
          <w:rFonts w:ascii="Times New Roman" w:cs="Times New Roman" w:eastAsia="Times New Roman" w:hAnsi="Times New Roman"/>
          <w:sz w:val="17"/>
          <w:szCs w:val="17"/>
          <w:i w:val="1"/>
          <w:iCs w:val="1"/>
          <w:color w:val="auto"/>
        </w:rPr>
        <w:t>Cash Award</w:t>
      </w:r>
      <w:r>
        <w:rPr>
          <w:rFonts w:ascii="Times New Roman" w:cs="Times New Roman" w:eastAsia="Times New Roman" w:hAnsi="Times New Roman"/>
          <w:sz w:val="17"/>
          <w:szCs w:val="17"/>
          <w:color w:val="auto"/>
        </w:rPr>
        <w:t>. The Committee may grant a performance award in cash. Any such cash award may be subject to performance measures as determined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7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Other Terms and Limitations</w:t>
      </w:r>
    </w:p>
    <w:p>
      <w:pPr>
        <w:spacing w:after="0" w:line="120"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Awards under the Amended 2016 Plan, other than ISOs, generally will not be transferable other than by will or the laws of descent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pursuant to a qualified domestic relations order or with the consent of the Committee. ISOs generally will not be transferable other than by will or the laws of descent and distribution and will be exercisable during the participant’s lifetime only by such participant or the participant’s guardian or legal representative.</w:t>
      </w:r>
    </w:p>
    <w:p>
      <w:pPr>
        <w:spacing w:after="0" w:line="273"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Adjustments for Corporate Events</w:t>
      </w:r>
      <w:r>
        <w:rPr>
          <w:rFonts w:ascii="Times New Roman" w:cs="Times New Roman" w:eastAsia="Times New Roman" w:hAnsi="Times New Roman"/>
          <w:sz w:val="17"/>
          <w:szCs w:val="17"/>
          <w:color w:val="auto"/>
        </w:rPr>
        <w:t>. If FET recapitalizes, reclassifies its stock, or otherwise changes its capital structure, the number and class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other property covered by an award shall be adjusted as if the grantee of such an award held the stock covered by the award immediately prior to the recapitalization, and the shares available for grant and share limits under the Amended 2016 Plan will also be adjusted to reflect the change.</w:t>
      </w:r>
    </w:p>
    <w:p>
      <w:pPr>
        <w:spacing w:after="0" w:line="5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the event (i) of a merger, consolidation or reorganization, (ii) of a sale of substantially all of FET’s assets, (iii) of liquidation of FET, (iv) of an acquisition by a person of more than 50% of FET’s outstanding voting stock or (v) of a contested election where the members of FET’s board of directors immediately prior to such contested election cease to constitute a majority of the board of directors, the Committee shall effect one or more of the following to prevent diminution or enlargement of the intended benefits under the Amended 2016 Plan: (a) accelerate the vesting and exercisability of awards; (b) require participants to surrender some or all of their outstanding awards in exchange for cash; or (c) make adjustments to the then outstanding awards (as well as shares available for grant under the Amended 2016 Plan and share-based Amended 2016 Plan limits) as the Committee deems appropriate to reflect the event, including adjusting the awards to include securities of the surviving or acquiring corporation or other property.</w:t>
      </w:r>
    </w:p>
    <w:p>
      <w:pPr>
        <w:spacing w:after="0" w:line="71"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If a participant’s employment with FET is terminated involuntarily by FET without cause by the participant for good reason within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two years after a change in control of FET, then any award held by the participant at the time of termination that is not a performance award will become fully vested and exercisable and any such award that is a performance award shall become vested and deemed to be earned at the target level.</w:t>
      </w:r>
    </w:p>
    <w:p>
      <w:pPr>
        <w:spacing w:after="0" w:line="5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Clawback</w:t>
      </w:r>
      <w:r>
        <w:rPr>
          <w:rFonts w:ascii="Times New Roman" w:cs="Times New Roman" w:eastAsia="Times New Roman" w:hAnsi="Times New Roman"/>
          <w:sz w:val="17"/>
          <w:szCs w:val="17"/>
          <w:color w:val="auto"/>
        </w:rPr>
        <w:t>. Awards to our executive officers under the Amended 2016 Plan are subject to recoupment or clawback in the event of a financial restatement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FET to the extent that the Committee determines, in its discretion, that such restatement is a result of fraud or willful misconduct. Awards under the Amended 2016 Plan are also subject to FET’s Rule 10D-1 clawback policy adopted in 2023 as described under “Corporate Governance―Clawback Policies” above. FET may adopt additional clawback policies and procedures, including those with retroactive effect.</w:t>
      </w:r>
    </w:p>
    <w:p>
      <w:pPr>
        <w:spacing w:after="0" w:line="6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i w:val="1"/>
          <w:iCs w:val="1"/>
          <w:color w:val="auto"/>
        </w:rPr>
        <w:t>Amendment and Termination</w:t>
      </w:r>
      <w:r>
        <w:rPr>
          <w:rFonts w:ascii="Times New Roman" w:cs="Times New Roman" w:eastAsia="Times New Roman" w:hAnsi="Times New Roman"/>
          <w:sz w:val="17"/>
          <w:szCs w:val="17"/>
          <w:color w:val="auto"/>
        </w:rPr>
        <w:t>. Our board of directors may terminate the Amended 2016 Plan at any time with respect to shares of common stock that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been granted under the Amended 2016 Plan and may alter or amend the Amended 2016 Plan from time to time provided that no change in the Amended 2016 Plan materially impairs a participant’s rights with respect to awards previously granted without the participant’s consent. No amendment or alteration will be effective prior to stockholder approval to the extent the board of directors determines such approval is required by applicable laws, regulations or exchange requirements. Notwithstanding the foregoing, no award will be made under the Amended 2016 Plan after May 12,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color w:val="auto"/>
        </w:rPr>
        <w:t>Awards Granted Under the 2016 Plan and New Plan Benefits Under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 Granted Under the 2016 Plan</w:t>
      </w:r>
    </w:p>
    <w:p>
      <w:pPr>
        <w:spacing w:after="0" w:line="109"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No awards made under the Amended 2016 Plan prior to the date of annual meeting were granted subject to stockholder approval of this Proposal 3. The following table sets forth information with respect to outstanding stock options and SARs that have been granted to the NEOs and the specified groups set forth below under the 2016 Plan as of March 15, 2024.</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260" w:type="dxa"/>
            <w:vAlign w:val="bottom"/>
            <w:tcBorders>
              <w:top w:val="single" w:sz="8" w:color="auto"/>
              <w:left w:val="single" w:sz="8" w:color="auto"/>
            </w:tcBorders>
            <w:shd w:val="clear" w:color="auto" w:fill="051E68"/>
          </w:tcPr>
          <w:p>
            <w:pPr>
              <w:ind w:left="3120"/>
              <w:spacing w:after="0"/>
              <w:rPr>
                <w:sz w:val="20"/>
                <w:szCs w:val="20"/>
                <w:color w:val="auto"/>
              </w:rPr>
            </w:pPr>
            <w:r>
              <w:rPr>
                <w:rFonts w:ascii="Times New Roman" w:cs="Times New Roman" w:eastAsia="Times New Roman" w:hAnsi="Times New Roman"/>
                <w:sz w:val="17"/>
                <w:szCs w:val="17"/>
                <w:b w:val="1"/>
                <w:bCs w:val="1"/>
                <w:color w:val="FFFFFF"/>
              </w:rPr>
              <w:t>Name and Principal Position</w:t>
            </w:r>
          </w:p>
        </w:tc>
        <w:tc>
          <w:tcPr>
            <w:tcW w:w="4000" w:type="dxa"/>
            <w:vAlign w:val="bottom"/>
            <w:tcBorders>
              <w:top w:val="single" w:sz="8" w:color="auto"/>
              <w:right w:val="single" w:sz="8" w:color="auto"/>
            </w:tcBorders>
            <w:shd w:val="clear" w:color="auto" w:fill="051E68"/>
          </w:tcPr>
          <w:p>
            <w:pPr>
              <w:ind w:left="2020"/>
              <w:spacing w:after="0"/>
              <w:rPr>
                <w:sz w:val="20"/>
                <w:szCs w:val="20"/>
                <w:color w:val="auto"/>
              </w:rPr>
            </w:pPr>
            <w:r>
              <w:rPr>
                <w:rFonts w:ascii="Times New Roman" w:cs="Times New Roman" w:eastAsia="Times New Roman" w:hAnsi="Times New Roman"/>
                <w:sz w:val="17"/>
                <w:szCs w:val="17"/>
                <w:b w:val="1"/>
                <w:bCs w:val="1"/>
                <w:color w:val="FFFFFF"/>
              </w:rPr>
              <w:t>Stock Options</w:t>
            </w:r>
          </w:p>
        </w:tc>
      </w:tr>
      <w:tr>
        <w:trPr>
          <w:trHeight w:val="190"/>
        </w:trPr>
        <w:tc>
          <w:tcPr>
            <w:tcW w:w="7260" w:type="dxa"/>
            <w:vAlign w:val="bottom"/>
            <w:tcBorders>
              <w:left w:val="single" w:sz="8" w:color="auto"/>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b w:val="1"/>
                <w:bCs w:val="1"/>
                <w:color w:val="auto"/>
              </w:rPr>
              <w:t>Neal A. Lux</w:t>
            </w:r>
          </w:p>
        </w:tc>
        <w:tc>
          <w:tcPr>
            <w:tcW w:w="4000" w:type="dxa"/>
            <w:vAlign w:val="bottom"/>
            <w:tcBorders>
              <w:right w:val="single" w:sz="8" w:color="auto"/>
            </w:tcBorders>
            <w:shd w:val="clear" w:color="auto" w:fill="CCEEFF"/>
          </w:tcPr>
          <w:p>
            <w:pPr>
              <w:jc w:val="center"/>
              <w:ind w:left="973"/>
              <w:spacing w:after="0" w:line="190" w:lineRule="exact"/>
              <w:rPr>
                <w:sz w:val="20"/>
                <w:szCs w:val="20"/>
                <w:color w:val="auto"/>
              </w:rPr>
            </w:pPr>
            <w:r>
              <w:rPr>
                <w:rFonts w:ascii="Times New Roman" w:cs="Times New Roman" w:eastAsia="Times New Roman" w:hAnsi="Times New Roman"/>
                <w:sz w:val="17"/>
                <w:szCs w:val="17"/>
                <w:color w:val="auto"/>
              </w:rPr>
              <w:t>—</w:t>
            </w:r>
          </w:p>
        </w:tc>
      </w:tr>
      <w:tr>
        <w:trPr>
          <w:trHeight w:val="233"/>
        </w:trPr>
        <w:tc>
          <w:tcPr>
            <w:tcW w:w="72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400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90"/>
        </w:trPr>
        <w:tc>
          <w:tcPr>
            <w:tcW w:w="7260" w:type="dxa"/>
            <w:vAlign w:val="bottom"/>
            <w:tcBorders>
              <w:left w:val="single" w:sz="8" w:color="auto"/>
            </w:tcBorders>
          </w:tcPr>
          <w:p>
            <w:pPr>
              <w:ind w:left="40"/>
              <w:spacing w:after="0" w:line="190" w:lineRule="exact"/>
              <w:rPr>
                <w:sz w:val="20"/>
                <w:szCs w:val="20"/>
                <w:color w:val="auto"/>
              </w:rPr>
            </w:pPr>
            <w:r>
              <w:rPr>
                <w:rFonts w:ascii="Times New Roman" w:cs="Times New Roman" w:eastAsia="Times New Roman" w:hAnsi="Times New Roman"/>
                <w:sz w:val="17"/>
                <w:szCs w:val="17"/>
                <w:b w:val="1"/>
                <w:bCs w:val="1"/>
                <w:color w:val="auto"/>
              </w:rPr>
              <w:t>D. Lyle Williams</w:t>
            </w:r>
          </w:p>
        </w:tc>
        <w:tc>
          <w:tcPr>
            <w:tcW w:w="4000" w:type="dxa"/>
            <w:vAlign w:val="bottom"/>
            <w:tcBorders>
              <w:right w:val="single" w:sz="8" w:color="auto"/>
            </w:tcBorders>
          </w:tcPr>
          <w:p>
            <w:pPr>
              <w:jc w:val="center"/>
              <w:ind w:left="993"/>
              <w:spacing w:after="0" w:line="190" w:lineRule="exact"/>
              <w:rPr>
                <w:sz w:val="20"/>
                <w:szCs w:val="20"/>
                <w:color w:val="auto"/>
              </w:rPr>
            </w:pPr>
            <w:r>
              <w:rPr>
                <w:rFonts w:ascii="Times New Roman" w:cs="Times New Roman" w:eastAsia="Times New Roman" w:hAnsi="Times New Roman"/>
                <w:sz w:val="17"/>
                <w:szCs w:val="17"/>
                <w:color w:val="auto"/>
              </w:rPr>
              <w:t>4,609</w:t>
            </w:r>
          </w:p>
        </w:tc>
      </w:tr>
      <w:tr>
        <w:trPr>
          <w:trHeight w:val="227"/>
        </w:trPr>
        <w:tc>
          <w:tcPr>
            <w:tcW w:w="72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EVP and Chief Financial Officer</w:t>
            </w:r>
          </w:p>
        </w:tc>
        <w:tc>
          <w:tcPr>
            <w:tcW w:w="4000" w:type="dxa"/>
            <w:vAlign w:val="bottom"/>
            <w:tcBorders>
              <w:right w:val="single" w:sz="8" w:color="auto"/>
            </w:tcBorders>
          </w:tcPr>
          <w:p>
            <w:pPr>
              <w:spacing w:after="0"/>
              <w:rPr>
                <w:sz w:val="19"/>
                <w:szCs w:val="19"/>
                <w:color w:val="auto"/>
              </w:rPr>
            </w:pPr>
          </w:p>
        </w:tc>
      </w:tr>
      <w:tr>
        <w:trPr>
          <w:trHeight w:val="26"/>
        </w:trPr>
        <w:tc>
          <w:tcPr>
            <w:tcW w:w="7260" w:type="dxa"/>
            <w:vAlign w:val="bottom"/>
            <w:tcBorders>
              <w:left w:val="single" w:sz="8" w:color="auto"/>
            </w:tcBorders>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r>
      <w:tr>
        <w:trPr>
          <w:trHeight w:val="190"/>
        </w:trPr>
        <w:tc>
          <w:tcPr>
            <w:tcW w:w="7260" w:type="dxa"/>
            <w:vAlign w:val="bottom"/>
            <w:tcBorders>
              <w:left w:val="single" w:sz="8" w:color="auto"/>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b w:val="1"/>
                <w:bCs w:val="1"/>
                <w:color w:val="auto"/>
              </w:rPr>
              <w:t>John C. Ivascu</w:t>
            </w:r>
          </w:p>
        </w:tc>
        <w:tc>
          <w:tcPr>
            <w:tcW w:w="4000" w:type="dxa"/>
            <w:vAlign w:val="bottom"/>
            <w:tcBorders>
              <w:right w:val="single" w:sz="8" w:color="auto"/>
            </w:tcBorders>
            <w:shd w:val="clear" w:color="auto" w:fill="CCEEFF"/>
          </w:tcPr>
          <w:p>
            <w:pPr>
              <w:jc w:val="center"/>
              <w:ind w:left="973"/>
              <w:spacing w:after="0" w:line="190" w:lineRule="exact"/>
              <w:rPr>
                <w:sz w:val="20"/>
                <w:szCs w:val="20"/>
                <w:color w:val="auto"/>
              </w:rPr>
            </w:pPr>
            <w:r>
              <w:rPr>
                <w:rFonts w:ascii="Times New Roman" w:cs="Times New Roman" w:eastAsia="Times New Roman" w:hAnsi="Times New Roman"/>
                <w:sz w:val="17"/>
                <w:szCs w:val="17"/>
                <w:color w:val="auto"/>
              </w:rPr>
              <w:t>355</w:t>
            </w:r>
          </w:p>
        </w:tc>
      </w:tr>
      <w:tr>
        <w:trPr>
          <w:trHeight w:val="233"/>
        </w:trPr>
        <w:tc>
          <w:tcPr>
            <w:tcW w:w="72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EVP, General Counsel, Chief Compliance Officer and Corporate Secretary</w:t>
            </w:r>
          </w:p>
        </w:tc>
        <w:tc>
          <w:tcPr>
            <w:tcW w:w="400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7"/>
        </w:trPr>
        <w:tc>
          <w:tcPr>
            <w:tcW w:w="72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All executive officers as a group (7 persons)</w:t>
            </w:r>
          </w:p>
        </w:tc>
        <w:tc>
          <w:tcPr>
            <w:tcW w:w="4000" w:type="dxa"/>
            <w:vAlign w:val="bottom"/>
            <w:tcBorders>
              <w:right w:val="single" w:sz="8" w:color="auto"/>
            </w:tcBorders>
          </w:tcPr>
          <w:p>
            <w:pPr>
              <w:jc w:val="center"/>
              <w:ind w:left="993"/>
              <w:spacing w:after="0"/>
              <w:rPr>
                <w:sz w:val="20"/>
                <w:szCs w:val="20"/>
                <w:color w:val="auto"/>
              </w:rPr>
            </w:pPr>
            <w:r>
              <w:rPr>
                <w:rFonts w:ascii="Times New Roman" w:cs="Times New Roman" w:eastAsia="Times New Roman" w:hAnsi="Times New Roman"/>
                <w:sz w:val="17"/>
                <w:szCs w:val="17"/>
                <w:color w:val="auto"/>
              </w:rPr>
              <w:t>9,819</w:t>
            </w:r>
          </w:p>
        </w:tc>
      </w:tr>
      <w:tr>
        <w:trPr>
          <w:trHeight w:val="21"/>
        </w:trPr>
        <w:tc>
          <w:tcPr>
            <w:tcW w:w="7260" w:type="dxa"/>
            <w:vAlign w:val="bottom"/>
            <w:tcBorders>
              <w:left w:val="single" w:sz="8" w:color="auto"/>
              <w:bottom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72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All non-executive directors as a group (7 persons)</w:t>
            </w:r>
          </w:p>
        </w:tc>
        <w:tc>
          <w:tcPr>
            <w:tcW w:w="4000" w:type="dxa"/>
            <w:vAlign w:val="bottom"/>
            <w:tcBorders>
              <w:bottom w:val="single" w:sz="8" w:color="CCEEFF"/>
              <w:right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2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All employees (other than executive officers) as a group (1,568 persons)</w:t>
            </w:r>
          </w:p>
        </w:tc>
        <w:tc>
          <w:tcPr>
            <w:tcW w:w="4000" w:type="dxa"/>
            <w:vAlign w:val="bottom"/>
            <w:tcBorders>
              <w:right w:val="single" w:sz="8" w:color="auto"/>
            </w:tcBorders>
          </w:tcPr>
          <w:p>
            <w:pPr>
              <w:jc w:val="center"/>
              <w:ind w:left="973"/>
              <w:spacing w:after="0"/>
              <w:rPr>
                <w:sz w:val="20"/>
                <w:szCs w:val="20"/>
                <w:color w:val="auto"/>
              </w:rPr>
            </w:pPr>
            <w:r>
              <w:rPr>
                <w:rFonts w:ascii="Times New Roman" w:cs="Times New Roman" w:eastAsia="Times New Roman" w:hAnsi="Times New Roman"/>
                <w:sz w:val="17"/>
                <w:szCs w:val="17"/>
                <w:color w:val="auto"/>
              </w:rPr>
              <w:t>375</w:t>
            </w:r>
          </w:p>
        </w:tc>
      </w:tr>
      <w:tr>
        <w:trPr>
          <w:trHeight w:val="21"/>
        </w:trPr>
        <w:tc>
          <w:tcPr>
            <w:tcW w:w="7260" w:type="dxa"/>
            <w:vAlign w:val="bottom"/>
            <w:tcBorders>
              <w:left w:val="single" w:sz="8" w:color="auto"/>
              <w:bottom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Plan Benefits Under the Amended 2016 Plan</w:t>
      </w:r>
    </w:p>
    <w:p>
      <w:pPr>
        <w:spacing w:after="0" w:line="122" w:lineRule="exact"/>
        <w:rPr>
          <w:sz w:val="20"/>
          <w:szCs w:val="20"/>
          <w:color w:val="auto"/>
        </w:rPr>
      </w:pPr>
    </w:p>
    <w:p>
      <w:pPr>
        <w:jc w:val="both"/>
        <w:ind w:right="20" w:firstLine="470"/>
        <w:spacing w:after="0" w:line="269" w:lineRule="auto"/>
        <w:rPr>
          <w:sz w:val="20"/>
          <w:szCs w:val="20"/>
          <w:color w:val="auto"/>
        </w:rPr>
      </w:pPr>
      <w:r>
        <w:rPr>
          <w:rFonts w:ascii="Times New Roman" w:cs="Times New Roman" w:eastAsia="Times New Roman" w:hAnsi="Times New Roman"/>
          <w:sz w:val="17"/>
          <w:szCs w:val="17"/>
          <w:color w:val="auto"/>
        </w:rPr>
        <w:t>Future awards to our officers and other employees under the Amended 2016 Plan will be made in accordance with future decisions of the Committee following the general guidelines of the Amended 2016 Plan. As a result, it is not possible to determine the benefits and amounts that will be received by any individual participant or group of participants in the future. Although not necessarily indicative of future grants that may be made under the Amended 2016 Plan, please see the “2023 Long-Term Incentives” section above with respect to awards under the 2016 Plan to our NEOs in 2023.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3" w:lineRule="exact"/>
        <w:rPr>
          <w:sz w:val="20"/>
          <w:szCs w:val="20"/>
          <w:color w:val="auto"/>
        </w:rPr>
      </w:pPr>
    </w:p>
    <w:p>
      <w:pPr>
        <w:jc w:val="both"/>
        <w:ind w:right="20" w:firstLine="470"/>
        <w:spacing w:after="0" w:line="254" w:lineRule="auto"/>
        <w:rPr>
          <w:sz w:val="20"/>
          <w:szCs w:val="20"/>
          <w:color w:val="auto"/>
        </w:rPr>
      </w:pPr>
      <w:r>
        <w:rPr>
          <w:rFonts w:ascii="Times New Roman" w:cs="Times New Roman" w:eastAsia="Times New Roman" w:hAnsi="Times New Roman"/>
          <w:sz w:val="17"/>
          <w:szCs w:val="17"/>
          <w:color w:val="auto"/>
        </w:rPr>
        <w:t>The following is a summary of the U.S. federal income tax treatment applicable to us and the participants who receive awards under the Amended 2016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or other tax laws other than U.S. federal income tax law. Because individual circumstances may vary, we recommend that all participants to consult their own tax advisor concerning the tax implications of awards granted under the Amended 2016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w:t>
      </w:r>
    </w:p>
    <w:p>
      <w:pPr>
        <w:spacing w:after="0" w:line="122" w:lineRule="exact"/>
        <w:rPr>
          <w:sz w:val="20"/>
          <w:szCs w:val="20"/>
          <w:color w:val="auto"/>
        </w:rPr>
      </w:pPr>
    </w:p>
    <w:p>
      <w:pPr>
        <w:jc w:val="both"/>
        <w:ind w:right="20" w:firstLine="470"/>
        <w:spacing w:after="0" w:line="266" w:lineRule="auto"/>
        <w:rPr>
          <w:sz w:val="20"/>
          <w:szCs w:val="20"/>
          <w:color w:val="auto"/>
        </w:rPr>
      </w:pPr>
      <w:r>
        <w:rPr>
          <w:rFonts w:ascii="Times New Roman" w:cs="Times New Roman" w:eastAsia="Times New Roman" w:hAnsi="Times New Roman"/>
          <w:sz w:val="17"/>
          <w:szCs w:val="17"/>
          <w:color w:val="auto"/>
        </w:rPr>
        <w:t>The Code provides that a participant receiving a nonqualified option ordinarily does not realize taxable income upon the grant of the option. A participant does, however, realize compensation income taxed at ordinary income tax rates upon the exercise of a nonqualified option to the extent that the fair market value of the common stock on the date of exercise exceeds the option price. When the participant sells the shares acquired pursuant to a nonqualified option, any gain or loss will be short-term or long-term capital gain or loss. For nonqualified options, FET is generally entitled to a federal income tax deduction in an amount equal to the ordinary income realized by the participant at the time of exercise.</w:t>
      </w:r>
    </w:p>
    <w:p>
      <w:pPr>
        <w:spacing w:after="0" w:line="65" w:lineRule="exact"/>
        <w:rPr>
          <w:sz w:val="20"/>
          <w:szCs w:val="20"/>
          <w:color w:val="auto"/>
        </w:rPr>
      </w:pPr>
    </w:p>
    <w:p>
      <w:pPr>
        <w:jc w:val="both"/>
        <w:ind w:right="20" w:firstLine="470"/>
        <w:spacing w:after="0" w:line="275" w:lineRule="auto"/>
        <w:rPr>
          <w:sz w:val="20"/>
          <w:szCs w:val="20"/>
          <w:color w:val="auto"/>
        </w:rPr>
      </w:pPr>
      <w:r>
        <w:rPr>
          <w:rFonts w:ascii="Times New Roman" w:cs="Times New Roman" w:eastAsia="Times New Roman" w:hAnsi="Times New Roman"/>
          <w:sz w:val="17"/>
          <w:szCs w:val="17"/>
          <w:color w:val="auto"/>
        </w:rPr>
        <w:t>The grant of an ISO does not result in taxable income to a participant. The exercise of an ISO also does not result in taxable income, provided that the circumstances satisfy the requirements in the Code. However, the exercise of an ISO may give rise to alternative minimum tax liability for the participant. In addition, if the participant does not dispose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60"/>
          </w:cols>
          <w:pgMar w:left="320" w:top="1374" w:right="319" w:bottom="1440" w:gutter="0" w:footer="0" w:header="0"/>
        </w:sectPr>
      </w:pPr>
    </w:p>
    <w:bookmarkStart w:id="58" w:name="page59"/>
    <w:bookmarkEnd w:id="58"/>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stock acquired upon exercise of an ISO during the statutory holding period, then any gain or loss upon subsequent sale of the common stock will be a long-term capital gain or loss. The statutory holding period lasts until the later of two years from the date the ISO is granted or one year from the date the common stock is transferred to the participant pursuant to the exercise of the ISO. If these statutory holding requirements are not satisfied (a “disqualifying disposition”), then the excess of (i) the fair market value of those shares on the exercise date or (if less) the amount realized upon such sale or disposition over (ii) the exercise price paid for the shares will be taxable as ordinary income to the participant. Any gain in excess of that amount is capital gain, while any loss recognized will be a capital loss.</w:t>
      </w:r>
    </w:p>
    <w:p>
      <w:pPr>
        <w:spacing w:after="0" w:line="278"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If the statutory holding period requirements for an ISO are satisfied, FET may not claim any federal income tax deduction upon either the exercise of the ISO or the subsequent sale of the common stock received upon exercise. If there is a disqualifying disposition, then FET is generally entitled to a federal income tax deduction in the amount of ordinary income recognized by the participant.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and Bonus Stock</w:t>
      </w:r>
    </w:p>
    <w:p>
      <w:pPr>
        <w:spacing w:after="0" w:line="12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 participant acquiring a restricted stock award or a bonus stock award will generally recognize ordinary income equal to the fair market value of the shares on the vesting date of the restricted stock or the grant date of bonus stock, less the amount paid, if any, by the participant. Under Section 83(b) of the Code, a participant may elect to include in ordinary income at the time restricted stock is first issued, the excess of the fair market value of the stock at the time of issuance over the amount paid, if any, by the participant. In this event, any subsequent change in the value of the shares will be recognized for tax purposes as capital gain or loss upon disposition of the shares. Absent a Section 83(b) election, any cash dividends or other distributions paid with respect to the restricted stock will be included in the participant’s ordinary income as compensation at the time of receipt and subsequent appreciation or depreciation will be recognized as capital gain or loss. FET will generally be entitled to a deduction for federal income tax purposes at the same time and in the same amount that a participant recognizes ordinary income from restricted stock or bonus stock awards under the Amended 2016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 and Restricted Stock Units</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Generally, a participant will not recognize any taxable income upon the award of SAR or restricted stock unit. At the time the participant receives the payment for the SAR or the restricted stock unit, the fair market value of shares of common stock or the amount of any cash received in payment for such awards generally is taxable compensation to the participant as ordinary income. FET will generally be entitled to a deduction for federal income tax purposes at the same time and in the same amount that a participant recognizes ordinary income from SARs or restricted stock units under the Amended 2016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Awards and Cash Awards</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 participant will generally not recognize any taxable income upon the grant of performance awards or cash awards. Upon settlement of such awards, participants normally will recognize ordinary income in the year of receipt equal to the amount of cash and the fair market value of any common stock received. FET will generally be entitled to a deduction for federal income tax purposes at the same time and in the same amount that a participant recognizes ordinary income from performance awards or cash awards under the Amended 2016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Tax Code Limitations on Deductibility</w:t>
      </w:r>
    </w:p>
    <w:p>
      <w:pPr>
        <w:spacing w:after="0" w:line="122"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Section 162(m) of the Code generally disallows a federal income tax deduction to any publicly held corporation for compensation paid in excess of $1,000,000 in any taxable year after 2017 to any individual who, in 2017 or later, is a company’s principal executive officer, principal financial officer or any of a company’s three other most highly compensated executive officers (other than the principal executive officer or the principal financial officer).</w:t>
      </w:r>
    </w:p>
    <w:p>
      <w:pPr>
        <w:spacing w:after="0" w:line="5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exercisability of an option or SAR, the elimination of restrictions on restricted stock, or the payment of bonus stock awards, performance awards or RSUs, may be accelerated as a result of a change in control. If any of the foregoing occurs, and the total parachute payments to the participant are not sufficiently reduced under terms of the Amended 2016 Plan, an excess parachute payment under the Code could result, triggering a 20% excise tax (in addition to income tax otherwise owed) payable by the participant. FET will not be entitled to a deduction for that portion of any “parachute payment” that is subject to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409A</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Section 409A to the Code generally provides that any deferred compensation arrangement which does not meet specific requirements regarding timing of payouts, advance election of deferrals and restrictions on acceleration of payouts results in immediate taxation of any amounts deferred to the extent not subject to a substantial risk of forfeiture. In addition, tax on the amounts included in income as a result of not complying with Section 409A are increased by an interest component as specified by statute, and the amounts included in income are also subject to a 20% excise tax. FET intends that any awards granted under the Amended 2016 Plan be exempt from or satisfy the requirements of Section 409A to avoid the imposition of excise tax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57" w:right="339" w:bottom="1440" w:gutter="0" w:footer="0" w:header="0"/>
        </w:sectPr>
      </w:pPr>
    </w:p>
    <w:bookmarkStart w:id="60" w:name="page61"/>
    <w:bookmarkEnd w:id="60"/>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PROPOSAL 4: RATIFICATION OF APPOINTMENT OF INDEPENDENT REGISTERED PUBLIC ACCOUNTING FIRM</w:t>
      </w:r>
    </w:p>
    <w:p>
      <w:pPr>
        <w:spacing w:after="0" w:line="240"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Deloitte &amp; Touche LLP (“Deloitte &amp; Touche”) has been appointed by the Audit Committee as the independent registered public accounting firm for us and our subsidiaries for the year ending December 31, 2024. This appointment is being presented to the stockholders for ratification. Deloitte &amp; Touche has been the independent registered public accounting firm for the Company since 2019. Representatives of Deloitte &amp; Touche are expected to be present at the annual meeting and will be provided an opportunity to make a statement if they desire to do so and to respond to appropriate questions from stockholders.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 quorum is present at the annual meeting, the ratification of the appointment of Deloitte &amp; Touche requires the affirmative vote of at least a majority of the votes cast on the matter. </w:t>
      </w:r>
      <w:r>
        <w:rPr>
          <w:rFonts w:ascii="Times New Roman" w:cs="Times New Roman" w:eastAsia="Times New Roman" w:hAnsi="Times New Roman"/>
          <w:sz w:val="17"/>
          <w:szCs w:val="17"/>
          <w:b w:val="1"/>
          <w:bCs w:val="1"/>
          <w:color w:val="auto"/>
        </w:rPr>
        <w:t>Your board of directors recommends a vote “FOR” such ratification.</w:t>
      </w:r>
    </w:p>
    <w:p>
      <w:pPr>
        <w:spacing w:after="0" w:line="263"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If the stockholders fail to ratify the appointment of Deloitte &amp; Touche as our independent registered public accounting firm, it is not anticipated that Deloitte &amp; Touche will be replaced in 2024. Such lack of approval will, however, be considered by the Audit Committee in selecting our independent registered public accounting firm for 2025. Even if the selection is ratified, the Audit Committee may, in its discretion, select a different independent registered public accounting firm at any time during the year if it determines that such a change would be in the best interests of the Company and its stockholders.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fees for professional services rendered by Deloitte &amp; Touche in 2023 and 2022.</w:t>
      </w: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5760" w:type="dxa"/>
            <w:vAlign w:val="bottom"/>
            <w:tcBorders>
              <w:top w:val="single" w:sz="8" w:color="auto"/>
              <w:left w:val="single" w:sz="8" w:color="auto"/>
              <w:bottom w:val="single" w:sz="8" w:color="auto"/>
            </w:tcBorders>
            <w:shd w:val="clear" w:color="auto" w:fill="051E68"/>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FFFFFF"/>
              </w:rPr>
              <w:t>(In thousands)</w:t>
            </w:r>
          </w:p>
        </w:tc>
        <w:tc>
          <w:tcPr>
            <w:tcW w:w="2720" w:type="dxa"/>
            <w:vAlign w:val="bottom"/>
            <w:tcBorders>
              <w:top w:val="single" w:sz="8" w:color="auto"/>
              <w:bottom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2023</w:t>
            </w:r>
          </w:p>
        </w:tc>
        <w:tc>
          <w:tcPr>
            <w:tcW w:w="2760" w:type="dxa"/>
            <w:vAlign w:val="bottom"/>
            <w:tcBorders>
              <w:top w:val="single" w:sz="8" w:color="auto"/>
              <w:bottom w:val="single" w:sz="8" w:color="auto"/>
              <w:righ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2022</w:t>
            </w:r>
          </w:p>
        </w:tc>
      </w:tr>
      <w:tr>
        <w:trPr>
          <w:trHeight w:val="215"/>
        </w:trPr>
        <w:tc>
          <w:tcPr>
            <w:tcW w:w="57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9"/>
                <w:szCs w:val="9"/>
                <w:color w:val="auto"/>
              </w:rPr>
              <w:t>(1)</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$3,234</w:t>
            </w:r>
          </w:p>
        </w:tc>
        <w:tc>
          <w:tcPr>
            <w:tcW w:w="2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$2,675</w:t>
            </w:r>
          </w:p>
        </w:tc>
      </w:tr>
      <w:tr>
        <w:trPr>
          <w:trHeight w:val="222"/>
        </w:trPr>
        <w:tc>
          <w:tcPr>
            <w:tcW w:w="5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Audit-Related Fees</w:t>
            </w: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Fees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6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All Other Fees </w:t>
            </w:r>
            <w:r>
              <w:rPr>
                <w:rFonts w:ascii="Times New Roman" w:cs="Times New Roman" w:eastAsia="Times New Roman" w:hAnsi="Times New Roman"/>
                <w:sz w:val="9"/>
                <w:szCs w:val="9"/>
                <w:color w:val="auto"/>
              </w:rPr>
              <w:t>(2)</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r>
      <w:tr>
        <w:trPr>
          <w:trHeight w:val="215"/>
        </w:trPr>
        <w:tc>
          <w:tcPr>
            <w:tcW w:w="57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$3,236</w:t>
            </w:r>
          </w:p>
        </w:tc>
        <w:tc>
          <w:tcPr>
            <w:tcW w:w="2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$2,677</w:t>
            </w:r>
          </w:p>
        </w:tc>
      </w:tr>
    </w:tbl>
    <w:p>
      <w:pPr>
        <w:spacing w:after="0" w:line="173" w:lineRule="exact"/>
        <w:rPr>
          <w:sz w:val="20"/>
          <w:szCs w:val="20"/>
          <w:color w:val="auto"/>
        </w:rPr>
      </w:pPr>
    </w:p>
    <w:p>
      <w:pPr>
        <w:ind w:left="320" w:hanging="316"/>
        <w:spacing w:after="0" w:line="282"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for audit services, which related to the consolidated audit, quarterly reviews, registration statements, comfort letters, statutory and subsidiary audits and services normally provided by the independent registered public accountant in connection with statutory and regulatory filings.</w:t>
      </w:r>
    </w:p>
    <w:p>
      <w:pPr>
        <w:ind w:left="300" w:hanging="296"/>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of accounting research tool subscription fees.</w:t>
      </w:r>
    </w:p>
    <w:p>
      <w:pPr>
        <w:spacing w:after="0" w:line="117"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Audit Committee preapproves all audit, review or attest engagements and permissible non-audit services to be performed by our independent registered public accounting firm, subject to, and in compliance with, the de minimis exception for non-audit services described in applicable provisions of the Exchange Act and applicable SEC rules. All services provided by Deloitte &amp; Touche in 2023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AUDIT COMMITTEE REPORT</w:t>
      </w:r>
    </w:p>
    <w:p>
      <w:pPr>
        <w:spacing w:after="0" w:line="11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Audit Committee currently consists of Ms. Evelyn M. Angelle (Chairperson), and Messrs. John A. Carrig and Paul E. Rowsey III. Mr. John Schmitz served on the Audit Committee from August 2011 until his retirement from the board of directors in March 2023. The Audit Committee’s purpose is to assist the board of directors in overseeing (1) the integrity of our financial statements, (2) our compliance with legal and regulatory requirements, (3) the qualifications, independence and performance of our independent auditors and (4) the effectiveness and performance of our internal audit function. The Audit Committee is directly responsible for the appointment, compensation, retention and oversight of the work of any registered public accounting firm engaged for the purpose of preparing or issuing an audit report or performing other audit, review or attest services for us. The board of directors has determined that the members of the Audit Committee are independent under applicable provisions of the Exchange Act and NYSE listing standards.</w:t>
      </w:r>
    </w:p>
    <w:p>
      <w:pPr>
        <w:spacing w:after="0" w:line="7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Our management is responsible for preparing our financial statements, and the independent auditors are responsible for auditing those financial statements and the effectiveness of the Company’s internal controls over financial reporting, and issuing a report thereon. Accordingly, the Audit Committee’s responsibility is one of oversight. In this context, the Audit Committee discussed with Deloitte &amp; Touche LLP, our independent registered public accounting firm for fiscal year 2023, the matters required to be discussed by applicable standards of the Public Company Accounting Oversight Board and the SEC. These communications and discussions are intended to assist the Audit Committee in overseeing the financial reporting and disclosure process. The Audit Committee also discussed with Deloitte &amp; Touche LLP its independence from us and received from Deloitte &amp; Touche LLP the written disclosures and the letter from Deloitte &amp; Touche LLP required by applicable requirements of the Public Company Accounting Oversight Board regarding Deloitte &amp; Touche LLP’s communications with the Audit Committee concerning independence. This discussion and disclosure informed the Audit Committee of the independence of Deloitte &amp; Touche LLP and assisted the Audit Committee in evaluating such independence. The Audit Committee also considered whether the provision of services by Deloitte &amp; Touche LLP not related to the audit of our financial statements and to the review of our interim financial statements is compatible with maintaining the independence of Deloitte &amp; Touche LLP. In determining whether to reappoint Deloitte &amp; Touche LLP as the Company’s independent auditor, the Audit Committee took into consideration a number of other factors, including the length of time the firm has been engaged, the firm’s capability and expertise in handling the breadth and complexity of the Company’s global operations, including the expertise and capability of the Lead Audit Partner, historical and recent performance, including the extent and quality of Deloitte &amp; Touche LLP’s communications with the Audit Committee, data related to audit quality and performance, including recent Public Company Accounting Oversight Board inspection reports on the firm, and the appropriateness of Deloitte &amp; Touche LLP’s fees, both on an absolute basis and as compared with the Company’s peers.</w:t>
      </w:r>
    </w:p>
    <w:p>
      <w:pPr>
        <w:spacing w:after="0" w:line="7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Finally, the Audit Committee reviewed and discussed our audited financial statements with our management, our internal auditors and Deloitte &amp; Touche LLP. The Audit Committee discussed with, and received regular status reports from, the Company’s Chief Financial Officer, Vice President - Internal Audit and Deloitte &amp; Touche LLP on the overall scope and plans for their audits of the Company, including their scope and plans for evaluating the effectiveness of internal control over financial reporting. In addition, the Audit Committee meets with the Chief Financial Officer, Vice President - Internal Audit and Deloitte &amp; Touche LLP, with and without management present, to discuss the results of their respective audits, in addition to private meetings with the General Counsel and Chief Compliance Officer. Our management informed the Audit Committee that our audited financial statements had been prepared in accordance with accounting principles generally accepted in the United States. Based on the review and discussions referred to above, and such other matters deemed relevant and appropriate by the Audit Committee, the Audit Committee recommended to the board of directors, and the board of directors has approved, that the audited financial statements be included in our Annual Report on Form 10-K for the year ended December 31, 2023.</w:t>
      </w: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 xml:space="preserve">Evelyn M. Angelle, </w:t>
      </w:r>
      <w:r>
        <w:rPr>
          <w:rFonts w:ascii="Times New Roman" w:cs="Times New Roman" w:eastAsia="Times New Roman" w:hAnsi="Times New Roman"/>
          <w:sz w:val="17"/>
          <w:szCs w:val="17"/>
          <w:i w:val="1"/>
          <w:iCs w:val="1"/>
          <w:color w:val="auto"/>
        </w:rPr>
        <w:t>Chairperson</w:t>
      </w:r>
    </w:p>
    <w:p>
      <w:pPr>
        <w:spacing w:after="0" w:line="3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John C. Carrig</w:t>
      </w:r>
    </w:p>
    <w:p>
      <w:pPr>
        <w:spacing w:after="0" w:line="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Paul E. Rowsey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5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ADDITIONAL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Stockholder Proposals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5" w:lineRule="exact"/>
        <w:rPr>
          <w:sz w:val="20"/>
          <w:szCs w:val="20"/>
          <w:color w:val="auto"/>
        </w:rPr>
      </w:pPr>
    </w:p>
    <w:p>
      <w:pPr>
        <w:jc w:val="both"/>
        <w:ind w:firstLine="470"/>
        <w:spacing w:after="0" w:line="245" w:lineRule="auto"/>
        <w:rPr>
          <w:sz w:val="20"/>
          <w:szCs w:val="20"/>
          <w:color w:val="auto"/>
        </w:rPr>
      </w:pPr>
      <w:r>
        <w:rPr>
          <w:rFonts w:ascii="Times New Roman" w:cs="Times New Roman" w:eastAsia="Times New Roman" w:hAnsi="Times New Roman"/>
          <w:sz w:val="17"/>
          <w:szCs w:val="17"/>
          <w:color w:val="auto"/>
        </w:rPr>
        <w:t>To be included in the proxy materials for the 2025 Annual Meeting of Stockholders, stockholder proposals that are submitted for presentation at that annual meeting and are otherwise eligible for inclusion in the proxy statement must be received by us no later than November 27, 2024. Proxies granted in connection with that annual meeting may confer discretionary authority to vote on any stockholder proposal if notice of the proposal is not received by us in accordance with the advance notice requirements of our bylaws discussed below. It is suggested that proponents submit their proposals by certified mail, return receipt requested. No stockholder proposals have been received for inclusion in this proxy statement.</w:t>
      </w:r>
    </w:p>
    <w:p>
      <w:pPr>
        <w:spacing w:after="0" w:line="1" w:lineRule="exact"/>
        <w:rPr>
          <w:sz w:val="20"/>
          <w:szCs w:val="20"/>
          <w:color w:val="auto"/>
        </w:rPr>
      </w:pPr>
    </w:p>
    <w:p>
      <w:pPr>
        <w:jc w:val="both"/>
        <w:ind w:firstLine="470"/>
        <w:spacing w:after="0"/>
        <w:rPr>
          <w:sz w:val="20"/>
          <w:szCs w:val="20"/>
          <w:color w:val="auto"/>
        </w:rPr>
      </w:pPr>
      <w:r>
        <w:rPr>
          <w:rFonts w:ascii="Times New Roman" w:cs="Times New Roman" w:eastAsia="Times New Roman" w:hAnsi="Times New Roman"/>
          <w:sz w:val="17"/>
          <w:szCs w:val="17"/>
          <w:color w:val="auto"/>
        </w:rPr>
        <w:t>Our bylaws provide the manner in which stockholders may give notice of business and director nominations to be brought before an annual meeting (which includes the information required under Rule 14a-19 of the Exchange Act). In order for an item to be properly brought before the meeting by a stockholder, the stockholder must be a holder of record at the time of the giving of notice and must be entitled to vote at the annual meeting. The item to be brought before the meeting must be a proper subject for stockholder action, and the stockholder must have given timely advance written notice of the item. For notice to be timely, it must be delivered to our Secretary at our principal executive offices no later than close of business on the 90th day prior to the anniversary of the prior year’s annual meeting date but not earlier than the 120th day prior to such anniversary date. Accordingly, for the 2025 Annual Meeting of stockholders, notice will have to be delivered to our Secretary at our principal offices no earlier than January 10, 2025 or later than February 9, 2025. If, however, the scheduled annual meeting date is more than 30 days before or more than 70 days after the first anniversary of the prior year’s annual meeting date, then notice of an item to be brought before the annual meeting will be timely if it is so delivered not earlier than the close of business on the 120th day and not later than the close of business on the 90th day prior to the date of such annual meeting or the 10th day following the day on which public announcement of the date of such meeting was first made. The notice must set forth the information required by the provisions of our bylaws dealing with stockholder proposals and nominations of directors.</w:t>
      </w:r>
    </w:p>
    <w:p>
      <w:pPr>
        <w:spacing w:after="0" w:line="186" w:lineRule="exact"/>
        <w:rPr>
          <w:sz w:val="20"/>
          <w:szCs w:val="20"/>
          <w:color w:val="auto"/>
        </w:rPr>
      </w:pPr>
    </w:p>
    <w:p>
      <w:pPr>
        <w:jc w:val="both"/>
        <w:ind w:firstLine="470"/>
        <w:spacing w:after="0" w:line="254" w:lineRule="auto"/>
        <w:rPr>
          <w:sz w:val="20"/>
          <w:szCs w:val="20"/>
          <w:color w:val="auto"/>
        </w:rPr>
      </w:pPr>
      <w:r>
        <w:rPr>
          <w:rFonts w:ascii="Times New Roman" w:cs="Times New Roman" w:eastAsia="Times New Roman" w:hAnsi="Times New Roman"/>
          <w:sz w:val="17"/>
          <w:szCs w:val="17"/>
          <w:color w:val="auto"/>
        </w:rPr>
        <w:t>All notices should be directed to John C. Ivascu, Executive Vice President, General Counsel, Chief Compliance Officer and Corporate Secretary, Forum Energy Technologies, Inc., 10344 Sam Houston Park Drive, Suite 300, Houston, Texas 77064.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Discretionary Voting of Proxies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Management does not intend to bring before the annual meeting any matters other than those disclosed in the notice of annual meeting of stockholders attached to this proxy statement, and it does not know of any business that persons other than management intend to present at the meeting. If any other matters are properly presented at the annual meeting for action, the persons named in the enclosed form of proxy and acting thereunder generally will have discretion to vote on those matters in accordance with their best judgment.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Copies of our annual report on Form 10-K for the year ended December 31, 2023, as filed with the SEC, are available without charge to stockholders upon request to D. Lyle Williams, Executive Vice President and Chief Financial Officer, Forum Energy Technologies, Inc., 10344 Sam Houston Park Drive, Suite 300, Houston, Texas 77064.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1" w:lineRule="exact"/>
        <w:rPr>
          <w:sz w:val="20"/>
          <w:szCs w:val="20"/>
          <w:color w:val="auto"/>
        </w:rPr>
      </w:pPr>
    </w:p>
    <w:p>
      <w:pPr>
        <w:jc w:val="both"/>
        <w:ind w:firstLine="470"/>
        <w:spacing w:after="0" w:line="275" w:lineRule="auto"/>
        <w:rPr>
          <w:sz w:val="20"/>
          <w:szCs w:val="20"/>
          <w:color w:val="auto"/>
        </w:rPr>
      </w:pPr>
      <w:r>
        <w:rPr>
          <w:rFonts w:ascii="Times New Roman" w:cs="Times New Roman" w:eastAsia="Times New Roman" w:hAnsi="Times New Roman"/>
          <w:sz w:val="17"/>
          <w:szCs w:val="17"/>
          <w:color w:val="auto"/>
        </w:rPr>
        <w:t>The SEC permits a single copy of the Notice or proxy materials to be sent to any household at which two or more stockholders reside if they appear to be members of the same family. This procedure, referred to as householding, reduces the volume of duplicate information stockholders receive and reduces mailing and printing expenses. A number of brokerage firms have instituted householding.</w:t>
      </w:r>
    </w:p>
    <w:p>
      <w:pPr>
        <w:spacing w:after="0" w:line="13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As a result, if you hold your shares through a broker and you reside at an address at which two or more stockholders reside, you will likely be receiving only one copy of the Notice or proxy materials unless any stockholder at that address has given the broker contrary instructions. If any such beneficial stockholder residing at such an address, however, wishes to receive a separate copy of the Notice or proxy materials in the future, or if any such beneficial stockholder that elected to continue to receive separate copies of the Notice wishes to receive a single copy of the Notice or proxy materials in the future, that stockholder should contact their broker or send a request to John C. Ivascu, Executive Vice President, General Counsel, Chief Compliance Officer and Corporate Secretary, Forum Energy Technologies, Inc., 10344 Sam Houston Park Drive, Suite 300, Houston, Texas 77064, telephone number (713) 351-7900. We will promptly deliver, upon written or oral request to the corporate secretary, a separate copy of the Notice or proxy materials to a beneficial stockholder at a shared address to which a single copy of the Notice or proxy materials was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RECONCILIATION OF GAAP TO NON-GAAP FINANCIAL INFORMATION</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0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vMerge w:val="restart"/>
          </w:tcPr>
          <w:p>
            <w:pPr>
              <w:jc w:val="right"/>
              <w:ind w:right="10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vMerge w:val="restart"/>
          </w:tcPr>
          <w:p>
            <w:pPr>
              <w:jc w:val="right"/>
              <w:ind w:right="10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89"/>
        </w:trPr>
        <w:tc>
          <w:tcPr>
            <w:tcW w:w="5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EBITDA as reported</w:t>
            </w:r>
          </w:p>
        </w:tc>
        <w:tc>
          <w:tcPr>
            <w:tcW w:w="100" w:type="dxa"/>
            <w:vAlign w:val="bottom"/>
          </w:tcPr>
          <w:p>
            <w:pPr>
              <w:spacing w:after="0"/>
              <w:rPr>
                <w:sz w:val="18"/>
                <w:szCs w:val="18"/>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78.9</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revenue</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6.1 %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11.3 %</w:t>
            </w:r>
          </w:p>
        </w:tc>
        <w:tc>
          <w:tcPr>
            <w:tcW w:w="0" w:type="dxa"/>
            <w:vAlign w:val="bottom"/>
          </w:tcPr>
          <w:p>
            <w:pPr>
              <w:spacing w:after="0"/>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Restructuring, transaction and other costs</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 and other working capital adjustments</w:t>
            </w:r>
          </w:p>
        </w:tc>
        <w:tc>
          <w:tcPr>
            <w:tcW w:w="100" w:type="dxa"/>
            <w:vAlign w:val="bottom"/>
          </w:tcPr>
          <w:p>
            <w:pPr>
              <w:spacing w:after="0"/>
              <w:rPr>
                <w:sz w:val="19"/>
                <w:szCs w:val="19"/>
                <w:color w:val="auto"/>
              </w:rPr>
            </w:pP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Transaction expense</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sale-leaseback transactions</w:t>
            </w:r>
          </w:p>
        </w:tc>
        <w:tc>
          <w:tcPr>
            <w:tcW w:w="100" w:type="dxa"/>
            <w:vAlign w:val="bottom"/>
          </w:tcPr>
          <w:p>
            <w:pPr>
              <w:spacing w:after="0"/>
              <w:rPr>
                <w:sz w:val="19"/>
                <w:szCs w:val="19"/>
                <w:color w:val="auto"/>
              </w:rPr>
            </w:pPr>
          </w:p>
        </w:tc>
        <w:tc>
          <w:tcPr>
            <w:tcW w:w="27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7"/>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(gain) on foreign exchange, net</w:t>
            </w: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10.8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b w:val="1"/>
                <w:bCs w:val="1"/>
                <w:color w:val="auto"/>
              </w:rPr>
              <w:t xml:space="preserve">EBITDA as adjusted </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67.1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58.7</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revenue</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9.1 %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8.4 %</w:t>
            </w:r>
          </w:p>
        </w:tc>
        <w:tc>
          <w:tcPr>
            <w:tcW w:w="0" w:type="dxa"/>
            <w:vAlign w:val="bottom"/>
          </w:tcPr>
          <w:p>
            <w:pPr>
              <w:spacing w:after="0"/>
              <w:rPr>
                <w:sz w:val="1"/>
                <w:szCs w:val="1"/>
                <w:color w:val="auto"/>
              </w:rPr>
            </w:pPr>
          </w:p>
        </w:tc>
      </w:tr>
      <w:tr>
        <w:trPr>
          <w:trHeight w:val="465"/>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 before acquisitions, reconciliation</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 for property and equipment</w:t>
            </w:r>
          </w:p>
        </w:tc>
        <w:tc>
          <w:tcPr>
            <w:tcW w:w="100" w:type="dxa"/>
            <w:vAlign w:val="bottom"/>
          </w:tcPr>
          <w:p>
            <w:pPr>
              <w:spacing w:after="0"/>
              <w:rPr>
                <w:sz w:val="19"/>
                <w:szCs w:val="19"/>
                <w:color w:val="auto"/>
              </w:rPr>
            </w:pP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sale-leaseback transactions</w:t>
            </w:r>
          </w:p>
        </w:tc>
        <w:tc>
          <w:tcPr>
            <w:tcW w:w="100" w:type="dxa"/>
            <w:vAlign w:val="bottom"/>
          </w:tcPr>
          <w:p>
            <w:pPr>
              <w:spacing w:after="0"/>
              <w:rPr>
                <w:sz w:val="19"/>
                <w:szCs w:val="19"/>
                <w:color w:val="auto"/>
              </w:rPr>
            </w:pPr>
          </w:p>
        </w:tc>
        <w:tc>
          <w:tcPr>
            <w:tcW w:w="27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5"/>
        </w:trPr>
        <w:tc>
          <w:tcPr>
            <w:tcW w:w="57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Free cash flow, before acquisitions </w:t>
            </w:r>
            <w:r>
              <w:rPr>
                <w:rFonts w:ascii="Times New Roman" w:cs="Times New Roman" w:eastAsia="Times New Roman" w:hAnsi="Times New Roman"/>
                <w:sz w:val="22"/>
                <w:szCs w:val="22"/>
                <w:b w:val="1"/>
                <w:bCs w:val="1"/>
                <w:color w:val="auto"/>
                <w:vertAlign w:val="superscript"/>
              </w:rPr>
              <w:t>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10.5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40" w:hanging="636"/>
        <w:spacing w:after="0" w:line="263" w:lineRule="auto"/>
        <w:tabs>
          <w:tab w:leader="none" w:pos="42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that the presentation of EBITDA and adjusted EBITDA are useful to the Company's investors because the Company believes EBITDA is an appropriate measure of evaluating the Company's operating performance and liquidity that reflects the resources available for strategic opportunities including, among others, investing in the business, strengthening the balance sheet, repurchasing the Company's securities and making strategic acquisitions. In addition, EBITDA and adjusted EBITDA are widely used benchmarks in the investment community.</w:t>
      </w:r>
    </w:p>
    <w:p>
      <w:pPr>
        <w:spacing w:after="0" w:line="208" w:lineRule="exact"/>
        <w:rPr>
          <w:rFonts w:ascii="Times New Roman" w:cs="Times New Roman" w:eastAsia="Times New Roman" w:hAnsi="Times New Roman"/>
          <w:sz w:val="14"/>
          <w:szCs w:val="14"/>
          <w:color w:val="auto"/>
        </w:rPr>
      </w:pPr>
    </w:p>
    <w:p>
      <w:pPr>
        <w:ind w:left="340" w:hanging="336"/>
        <w:spacing w:after="0"/>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free cash flow, before acquisitions is an important measure because it encompasses both profitability and capital management in evaluating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APPENDIX B</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FORUM ENERGY TECHNOLOGIES,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2016 SECOND AMENDED AND RESTATED STOCK AND INCENTIVE PLAN</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(As Established Effective as of May 12, 2020)</w:t>
      </w:r>
    </w:p>
    <w:p>
      <w:pPr>
        <w:spacing w:after="0" w:line="19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(As proposed to be amended)</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I. PURPOSE OF THE PLAN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The purpose of the </w:t>
      </w:r>
      <w:r>
        <w:rPr>
          <w:rFonts w:ascii="Times New Roman" w:cs="Times New Roman" w:eastAsia="Times New Roman" w:hAnsi="Times New Roman"/>
          <w:sz w:val="19"/>
          <w:szCs w:val="19"/>
          <w:b w:val="1"/>
          <w:bCs w:val="1"/>
          <w:color w:val="auto"/>
        </w:rPr>
        <w:t>FORUM ENERGY TECHNOLOGIES, INC. 2016 STOCK AND INCENTIVE PLAN</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is to provide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 means through which FORUM ENERGY TECHNOLOGIES,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its Affiliates may attract able persons to serve as Directors or Consultants or to enter the employ of the Company and its Affiliates and to provide a means whereby those</w:t>
      </w:r>
    </w:p>
    <w:p>
      <w:pPr>
        <w:spacing w:after="0" w:line="216" w:lineRule="auto"/>
        <w:rPr>
          <w:sz w:val="20"/>
          <w:szCs w:val="20"/>
          <w:color w:val="auto"/>
        </w:rPr>
      </w:pPr>
      <w:r>
        <w:rPr>
          <w:rFonts w:ascii="Times New Roman" w:cs="Times New Roman" w:eastAsia="Times New Roman" w:hAnsi="Times New Roman"/>
          <w:sz w:val="19"/>
          <w:szCs w:val="19"/>
          <w:color w:val="auto"/>
        </w:rPr>
        <w:t>individuals upon whom the responsibilities of the successful administration and management of the Company and its Affiliates rest, and whose</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present and potential contributions to the Company and its Affiliates are of importance, can acquire and maintain stock ownership and receive cash awards, thereby strengthening their concern for the long-term welfare of the Company and its Affiliates. A further purpose of the Plan is to</w:t>
      </w:r>
    </w:p>
    <w:p>
      <w:pPr>
        <w:spacing w:after="0" w:line="216" w:lineRule="auto"/>
        <w:rPr>
          <w:sz w:val="20"/>
          <w:szCs w:val="20"/>
          <w:color w:val="auto"/>
        </w:rPr>
      </w:pPr>
      <w:r>
        <w:rPr>
          <w:rFonts w:ascii="Times New Roman" w:cs="Times New Roman" w:eastAsia="Times New Roman" w:hAnsi="Times New Roman"/>
          <w:sz w:val="19"/>
          <w:szCs w:val="19"/>
          <w:color w:val="auto"/>
        </w:rPr>
        <w:t>provide such individuals with additional incentive and reward opportunities designed to enhance the profitable growth of the Company and its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Affiliates over the long term. Accordingly, the Plan provides for granting Options, Stock Appreciation Rights, Restricted Stock Awards, Performance Awards, Restricted Stock Unit Awards, Bonus Stock Awards, Cash Awards or any combination of the foregoing, as is best suited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circumstances of the particular Employee, Consultant, or Director as provided herein.</w:t>
      </w:r>
    </w:p>
    <w:p>
      <w:pPr>
        <w:spacing w:after="0" w:line="1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II. DEFINITIONS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definitions shall be applicable throughout the Plan unless specifically modified by any paragraph:</w:t>
      </w:r>
    </w:p>
    <w:p>
      <w:pPr>
        <w:spacing w:after="0" w:line="169" w:lineRule="exact"/>
        <w:rPr>
          <w:sz w:val="20"/>
          <w:szCs w:val="20"/>
          <w:color w:val="auto"/>
        </w:rPr>
      </w:pPr>
    </w:p>
    <w:p>
      <w:pPr>
        <w:jc w:val="both"/>
        <w:ind w:firstLine="631"/>
        <w:spacing w:after="0" w:line="221" w:lineRule="auto"/>
        <w:tabs>
          <w:tab w:leader="none" w:pos="11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xml:space="preserve">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24" w:lineRule="exact"/>
        <w:rPr>
          <w:rFonts w:ascii="Times New Roman" w:cs="Times New Roman" w:eastAsia="Times New Roman" w:hAnsi="Times New Roman"/>
          <w:sz w:val="19"/>
          <w:szCs w:val="19"/>
          <w:color w:val="auto"/>
        </w:rPr>
      </w:pPr>
    </w:p>
    <w:p>
      <w:pPr>
        <w:ind w:firstLine="631"/>
        <w:spacing w:after="0" w:line="254" w:lineRule="auto"/>
        <w:tabs>
          <w:tab w:leader="none" w:pos="109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xml:space="preserve"> means, individually or collectively, any Option, Stock Appreciation Right, Restricted Stock Award, Performance Award, Restricted Stock Unit Award, Bonus Stock Award or Cash Award.</w:t>
      </w:r>
    </w:p>
    <w:p>
      <w:pPr>
        <w:spacing w:after="0" w:line="111" w:lineRule="exact"/>
        <w:rPr>
          <w:rFonts w:ascii="Times New Roman" w:cs="Times New Roman" w:eastAsia="Times New Roman" w:hAnsi="Times New Roman"/>
          <w:sz w:val="19"/>
          <w:szCs w:val="19"/>
          <w:color w:val="auto"/>
        </w:rPr>
      </w:pPr>
    </w:p>
    <w:p>
      <w:pPr>
        <w:ind w:left="1040" w:hanging="409"/>
        <w:spacing w:after="0"/>
        <w:tabs>
          <w:tab w:leader="none" w:pos="10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xml:space="preserve"> means the Board of Directors of the Company.</w:t>
      </w:r>
    </w:p>
    <w:p>
      <w:pPr>
        <w:spacing w:after="0" w:line="173"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Bonus Stock Award"</w:t>
      </w:r>
      <w:r>
        <w:rPr>
          <w:rFonts w:ascii="Times New Roman" w:cs="Times New Roman" w:eastAsia="Times New Roman" w:hAnsi="Times New Roman"/>
          <w:sz w:val="19"/>
          <w:szCs w:val="19"/>
          <w:color w:val="auto"/>
        </w:rPr>
        <w:t xml:space="preserve"> means an Award granted under Paragraph XI of the Plan.</w:t>
      </w:r>
    </w:p>
    <w:p>
      <w:pPr>
        <w:spacing w:after="0" w:line="160" w:lineRule="exact"/>
        <w:rPr>
          <w:rFonts w:ascii="Times New Roman" w:cs="Times New Roman" w:eastAsia="Times New Roman" w:hAnsi="Times New Roman"/>
          <w:sz w:val="19"/>
          <w:szCs w:val="19"/>
          <w:color w:val="auto"/>
        </w:rPr>
      </w:pPr>
    </w:p>
    <w:p>
      <w:pPr>
        <w:ind w:left="1080" w:hanging="449"/>
        <w:spacing w:after="0"/>
        <w:tabs>
          <w:tab w:leader="none" w:pos="10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Award"</w:t>
      </w:r>
      <w:r>
        <w:rPr>
          <w:rFonts w:ascii="Times New Roman" w:cs="Times New Roman" w:eastAsia="Times New Roman" w:hAnsi="Times New Roman"/>
          <w:sz w:val="19"/>
          <w:szCs w:val="19"/>
          <w:color w:val="auto"/>
        </w:rPr>
        <w:t xml:space="preserve"> means a Performance Award denominated in cash.</w:t>
      </w:r>
    </w:p>
    <w:p>
      <w:pPr>
        <w:spacing w:after="0" w:line="160" w:lineRule="exact"/>
        <w:rPr>
          <w:rFonts w:ascii="Times New Roman" w:cs="Times New Roman" w:eastAsia="Times New Roman" w:hAnsi="Times New Roman"/>
          <w:sz w:val="19"/>
          <w:szCs w:val="19"/>
          <w:color w:val="auto"/>
        </w:rPr>
      </w:pPr>
    </w:p>
    <w:p>
      <w:pPr>
        <w:jc w:val="both"/>
        <w:ind w:firstLine="631"/>
        <w:spacing w:after="0" w:line="223" w:lineRule="auto"/>
        <w:tabs>
          <w:tab w:leader="none" w:pos="108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xml:space="preserve"> shall mean a determination by the Company that the Participant (i) has engaged in gross negligence or willful misconduct in the performance of the Participant's duties with respect to the Company or any of its Affiliates, (ii) has materially breached any provision of any written agreement or corporate policy or code of conduct established by the Company or any of its Affiliates, (iii) has willfully engaged in conduct that is materially injurious to the Company or any of its Affiliates, or (iv) has been convicted of, pleaded no contest to or received adjudicated probation or deferred adjudication in connection with a felony involving fraud, dishonesty or moral turpitude (or a crime of similar import in a foreign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1240"/>
          </w:cols>
          <w:pgMar w:left="320" w:top="1355" w:right="339" w:bottom="1440" w:gutter="0" w:footer="0" w:header="0"/>
        </w:sectPr>
      </w:pPr>
    </w:p>
    <w:bookmarkStart w:id="66" w:name="page67"/>
    <w:bookmarkEnd w:id="66"/>
    <w:p>
      <w:pPr>
        <w:spacing w:after="0" w:line="109" w:lineRule="exact"/>
        <w:rPr>
          <w:sz w:val="20"/>
          <w:szCs w:val="20"/>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xml:space="preserve"> shall have the meaning assigned to such term in Exhibit A to the Plan.</w:t>
      </w:r>
    </w:p>
    <w:p>
      <w:pPr>
        <w:spacing w:after="0" w:line="160" w:lineRule="exact"/>
        <w:rPr>
          <w:rFonts w:ascii="Times New Roman" w:cs="Times New Roman" w:eastAsia="Times New Roman" w:hAnsi="Times New Roman"/>
          <w:sz w:val="19"/>
          <w:szCs w:val="19"/>
          <w:color w:val="auto"/>
        </w:rPr>
      </w:pPr>
    </w:p>
    <w:p>
      <w:pPr>
        <w:jc w:val="both"/>
        <w:ind w:firstLine="631"/>
        <w:spacing w:after="0" w:line="231" w:lineRule="auto"/>
        <w:tabs>
          <w:tab w:leader="none" w:pos="132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xml:space="preserve"> means the Internal Revenue Code of 1986, as amended from time to time, together with rules, regulations and interpretations promulgated thereunder. Reference in the Plan to any Section of the Code shall be deemed to include any amendments or successor provisions to such Section and any regulations under such Section.</w:t>
      </w:r>
    </w:p>
    <w:p>
      <w:pPr>
        <w:spacing w:after="0" w:line="139" w:lineRule="exact"/>
        <w:rPr>
          <w:rFonts w:ascii="Times New Roman" w:cs="Times New Roman" w:eastAsia="Times New Roman" w:hAnsi="Times New Roman"/>
          <w:sz w:val="19"/>
          <w:szCs w:val="19"/>
          <w:color w:val="auto"/>
        </w:rPr>
      </w:pPr>
    </w:p>
    <w:p>
      <w:pPr>
        <w:ind w:firstLine="631"/>
        <w:spacing w:after="0"/>
        <w:tabs>
          <w:tab w:leader="none" w:pos="104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xml:space="preserve"> means the Compensation Committee of the Board, unless and until the Board designates a different committee to serve as the administrator of the Plan under Paragraph IV(a).</w:t>
      </w:r>
    </w:p>
    <w:p>
      <w:pPr>
        <w:spacing w:after="0" w:line="137" w:lineRule="exact"/>
        <w:rPr>
          <w:rFonts w:ascii="Times New Roman" w:cs="Times New Roman" w:eastAsia="Times New Roman" w:hAnsi="Times New Roman"/>
          <w:sz w:val="19"/>
          <w:szCs w:val="19"/>
          <w:color w:val="auto"/>
        </w:rPr>
      </w:pPr>
    </w:p>
    <w:p>
      <w:pPr>
        <w:ind w:firstLine="631"/>
        <w:spacing w:after="0"/>
        <w:tabs>
          <w:tab w:leader="none" w:pos="111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xml:space="preserve"> means the common stock, par value $.01 per share, of the Company, or any security into which such common stock may be changed by reason of any transaction or event of the type described in Paragraph XII.</w:t>
      </w:r>
    </w:p>
    <w:p>
      <w:pPr>
        <w:spacing w:after="0" w:line="137"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means Forum Energy Technologies, Inc., a Delaware corporation.</w:t>
      </w:r>
    </w:p>
    <w:p>
      <w:pPr>
        <w:spacing w:after="0" w:line="160" w:lineRule="exact"/>
        <w:rPr>
          <w:rFonts w:ascii="Times New Roman" w:cs="Times New Roman" w:eastAsia="Times New Roman" w:hAnsi="Times New Roman"/>
          <w:sz w:val="19"/>
          <w:szCs w:val="19"/>
          <w:color w:val="auto"/>
        </w:rPr>
      </w:pPr>
    </w:p>
    <w:p>
      <w:pPr>
        <w:ind w:firstLine="631"/>
        <w:spacing w:after="0" w:line="254" w:lineRule="auto"/>
        <w:tabs>
          <w:tab w:leader="none" w:pos="108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xml:space="preserve"> means any person who is not an Employee or a Director and who is providing advisory or consulting services to the Company or any Affiliate.</w:t>
      </w:r>
    </w:p>
    <w:p>
      <w:pPr>
        <w:spacing w:after="0" w:line="111" w:lineRule="exact"/>
        <w:rPr>
          <w:rFonts w:ascii="Times New Roman" w:cs="Times New Roman" w:eastAsia="Times New Roman" w:hAnsi="Times New Roman"/>
          <w:sz w:val="19"/>
          <w:szCs w:val="19"/>
          <w:color w:val="auto"/>
        </w:rPr>
      </w:pPr>
    </w:p>
    <w:p>
      <w:pPr>
        <w:ind w:left="1140" w:hanging="509"/>
        <w:spacing w:after="0"/>
        <w:tabs>
          <w:tab w:leader="none" w:pos="11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Corporate Change"</w:t>
      </w:r>
      <w:r>
        <w:rPr>
          <w:rFonts w:ascii="Times New Roman" w:cs="Times New Roman" w:eastAsia="Times New Roman" w:hAnsi="Times New Roman"/>
          <w:sz w:val="19"/>
          <w:szCs w:val="19"/>
          <w:color w:val="auto"/>
        </w:rPr>
        <w:t xml:space="preserve"> shall have the meaning assigned to such term in Paragraph XII(c) of the Plan.</w:t>
      </w:r>
    </w:p>
    <w:p>
      <w:pPr>
        <w:spacing w:after="0" w:line="160"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xml:space="preserve"> means an individual who is a non-employee member of the Board.</w:t>
      </w:r>
    </w:p>
    <w:p>
      <w:pPr>
        <w:spacing w:after="0" w:line="160"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xml:space="preserve"> has the meaning set forth in Paragraph III of the Plan.</w:t>
      </w:r>
    </w:p>
    <w:p>
      <w:pPr>
        <w:spacing w:after="0" w:line="173"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xml:space="preserve"> means any person in an employment relationship with the Company or any Affiliate.</w:t>
      </w:r>
    </w:p>
    <w:p>
      <w:pPr>
        <w:spacing w:after="0" w:line="160"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xml:space="preserve"> means the Securities Exchange Act of 1934, as amended.</w:t>
      </w:r>
    </w:p>
    <w:p>
      <w:pPr>
        <w:spacing w:after="0" w:line="160" w:lineRule="exact"/>
        <w:rPr>
          <w:rFonts w:ascii="Times New Roman" w:cs="Times New Roman" w:eastAsia="Times New Roman" w:hAnsi="Times New Roman"/>
          <w:sz w:val="19"/>
          <w:szCs w:val="19"/>
          <w:color w:val="auto"/>
        </w:rPr>
      </w:pPr>
    </w:p>
    <w:p>
      <w:pPr>
        <w:jc w:val="both"/>
        <w:ind w:firstLine="631"/>
        <w:spacing w:after="0" w:line="219" w:lineRule="auto"/>
        <w:tabs>
          <w:tab w:leader="none" w:pos="109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xml:space="preserve"> means, as of any specified date, the closing price of the Common Stock, if the Common Stock is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Common Stock is so reported. If the Common Stock is traded over the counter at the time a determination of its fair market value is required to be made hereunder, its fair market value shall be deemed to be equal to the average between the reported high and low or closing bid and asked prices of Common Stock on the most recent date on which Common Stock was publicly traded. In the event Common Stock is not publicly traded at the time a determination of its value is required to be made hereunder, the determination of its fair market value shall be made by the Committee in such manner as it deemed appropriate and as is consistent with the requirements of Section 409A of the Code.</w:t>
      </w:r>
    </w:p>
    <w:p>
      <w:pPr>
        <w:spacing w:after="0" w:line="128" w:lineRule="exact"/>
        <w:rPr>
          <w:rFonts w:ascii="Times New Roman" w:cs="Times New Roman" w:eastAsia="Times New Roman" w:hAnsi="Times New Roman"/>
          <w:sz w:val="19"/>
          <w:szCs w:val="19"/>
          <w:color w:val="auto"/>
        </w:rPr>
      </w:pPr>
    </w:p>
    <w:p>
      <w:pPr>
        <w:ind w:firstLine="631"/>
        <w:spacing w:after="0" w:line="254" w:lineRule="auto"/>
        <w:tabs>
          <w:tab w:leader="none" w:pos="118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xml:space="preserve"> shall have the meaning assigned to such term in Paragraph VIII with respect to Restricted Stock or Paragraph X with respect to Restricted Stock Units, as applicable.</w:t>
      </w:r>
    </w:p>
    <w:p>
      <w:pPr>
        <w:spacing w:after="0" w:line="111" w:lineRule="exact"/>
        <w:rPr>
          <w:rFonts w:ascii="Times New Roman" w:cs="Times New Roman" w:eastAsia="Times New Roman" w:hAnsi="Times New Roman"/>
          <w:sz w:val="19"/>
          <w:szCs w:val="19"/>
          <w:color w:val="auto"/>
        </w:rPr>
      </w:pPr>
    </w:p>
    <w:p>
      <w:pPr>
        <w:jc w:val="both"/>
        <w:ind w:firstLine="631"/>
        <w:spacing w:after="0" w:line="219" w:lineRule="auto"/>
        <w:tabs>
          <w:tab w:leader="none" w:pos="108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xml:space="preserve"> shall have the meaning assigned to such term in the applicable Award agreement, or, if the Award agreement does not define Good Reason, Good Reason shall mean the occurrence of any of the following events without the Participant's consent: (i) a material reduction in the Participant's base rate of compensation from that in effect prior to the Change in Control, (ii) a material diminution in the Participant's authority, duties or responsibilities from those in effect prior to the Change in Control or (iii) the involuntary relocation of the geographic location of the Participant's principal place of employment by more than 75 miles from the location of the Participant's principal place of employment prior to the Change in Control. Notwithstanding the foregoing, any assertion by a Participant of a termination of employment for Good Reason shall not be effective unless: (x) the Participant provides written notice to the Company of such condition within 45 days of the initial existence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50" w:lineRule="auto"/>
        <w:rPr>
          <w:sz w:val="20"/>
          <w:szCs w:val="20"/>
          <w:color w:val="auto"/>
        </w:rPr>
      </w:pPr>
      <w:r>
        <w:rPr>
          <w:rFonts w:ascii="Times New Roman" w:cs="Times New Roman" w:eastAsia="Times New Roman" w:hAnsi="Times New Roman"/>
          <w:sz w:val="19"/>
          <w:szCs w:val="19"/>
          <w:color w:val="auto"/>
        </w:rPr>
        <w:t>condition; (y) the condition specified in such notice must remain uncorrected for 30 days after receipt of such notice by the Company; and (z) the date of the Participant's termination of employment must occur within 90 days after the initial existence of the condition specified in such notice.</w:t>
      </w:r>
    </w:p>
    <w:p>
      <w:pPr>
        <w:spacing w:after="0" w:line="115" w:lineRule="exact"/>
        <w:rPr>
          <w:sz w:val="20"/>
          <w:szCs w:val="20"/>
          <w:color w:val="auto"/>
        </w:rPr>
      </w:pPr>
    </w:p>
    <w:p>
      <w:pPr>
        <w:ind w:left="1100" w:hanging="469"/>
        <w:spacing w:after="0"/>
        <w:tabs>
          <w:tab w:leader="none" w:pos="11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Stock Option"</w:t>
      </w:r>
      <w:r>
        <w:rPr>
          <w:rFonts w:ascii="Times New Roman" w:cs="Times New Roman" w:eastAsia="Times New Roman" w:hAnsi="Times New Roman"/>
          <w:sz w:val="19"/>
          <w:szCs w:val="19"/>
          <w:color w:val="auto"/>
        </w:rPr>
        <w:t xml:space="preserve"> means an incentive stock option within the meaning of Section 422 of the Code.</w:t>
      </w:r>
    </w:p>
    <w:p>
      <w:pPr>
        <w:spacing w:after="0" w:line="160"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Minimum Restrictions"</w:t>
      </w:r>
      <w:r>
        <w:rPr>
          <w:rFonts w:ascii="Times New Roman" w:cs="Times New Roman" w:eastAsia="Times New Roman" w:hAnsi="Times New Roman"/>
          <w:sz w:val="19"/>
          <w:szCs w:val="19"/>
          <w:color w:val="auto"/>
        </w:rPr>
        <w:t xml:space="preserve"> shall have the meaning assigned to such term in Paragraph V(a) of the Plan.</w:t>
      </w:r>
    </w:p>
    <w:p>
      <w:pPr>
        <w:spacing w:after="0" w:line="163" w:lineRule="exact"/>
        <w:rPr>
          <w:rFonts w:ascii="Times New Roman" w:cs="Times New Roman" w:eastAsia="Times New Roman" w:hAnsi="Times New Roman"/>
          <w:sz w:val="19"/>
          <w:szCs w:val="19"/>
          <w:color w:val="auto"/>
        </w:rPr>
      </w:pPr>
    </w:p>
    <w:p>
      <w:pPr>
        <w:ind w:left="1140" w:hanging="509"/>
        <w:spacing w:after="0"/>
        <w:tabs>
          <w:tab w:leader="none" w:pos="11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xml:space="preserve"> means an Option that is not intended to comply with the requirements set forth in Section 422 of the</w:t>
      </w: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37" w:lineRule="exact"/>
        <w:rPr>
          <w:sz w:val="20"/>
          <w:szCs w:val="20"/>
          <w:color w:val="auto"/>
        </w:rPr>
      </w:pPr>
    </w:p>
    <w:p>
      <w:pPr>
        <w:ind w:left="1160" w:hanging="529"/>
        <w:spacing w:after="0"/>
        <w:tabs>
          <w:tab w:leader="none" w:pos="11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xml:space="preserve"> means an Award granted under Paragraph VII of the Plan and includes both Incentive Stock Options and Nonqualified</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Options.</w:t>
      </w:r>
    </w:p>
    <w:p>
      <w:pPr>
        <w:spacing w:after="0" w:line="147"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 Agreement"</w:t>
      </w:r>
      <w:r>
        <w:rPr>
          <w:rFonts w:ascii="Times New Roman" w:cs="Times New Roman" w:eastAsia="Times New Roman" w:hAnsi="Times New Roman"/>
          <w:sz w:val="19"/>
          <w:szCs w:val="19"/>
          <w:color w:val="auto"/>
        </w:rPr>
        <w:t xml:space="preserve"> means a written agreement between the Company and a Participant with respect to an Option.</w:t>
      </w:r>
    </w:p>
    <w:p>
      <w:pPr>
        <w:spacing w:after="0" w:line="160" w:lineRule="exact"/>
        <w:rPr>
          <w:rFonts w:ascii="Times New Roman" w:cs="Times New Roman" w:eastAsia="Times New Roman" w:hAnsi="Times New Roman"/>
          <w:sz w:val="19"/>
          <w:szCs w:val="19"/>
          <w:color w:val="auto"/>
        </w:rPr>
      </w:pPr>
    </w:p>
    <w:p>
      <w:pPr>
        <w:ind w:left="1080" w:hanging="449"/>
        <w:spacing w:after="0"/>
        <w:tabs>
          <w:tab w:leader="none" w:pos="10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means an Employee, Consultant, or Director who has been granted an Award.</w:t>
      </w:r>
    </w:p>
    <w:p>
      <w:pPr>
        <w:spacing w:after="0" w:line="160" w:lineRule="exact"/>
        <w:rPr>
          <w:sz w:val="20"/>
          <w:szCs w:val="20"/>
          <w:color w:val="auto"/>
        </w:rPr>
      </w:pPr>
    </w:p>
    <w:p>
      <w:pPr>
        <w:ind w:left="1160" w:hanging="529"/>
        <w:spacing w:after="0"/>
        <w:tabs>
          <w:tab w:leader="none" w:pos="11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Award"</w:t>
      </w:r>
      <w:r>
        <w:rPr>
          <w:rFonts w:ascii="Times New Roman" w:cs="Times New Roman" w:eastAsia="Times New Roman" w:hAnsi="Times New Roman"/>
          <w:sz w:val="19"/>
          <w:szCs w:val="19"/>
          <w:color w:val="auto"/>
        </w:rPr>
        <w:t xml:space="preserve"> means an Award granted under Paragraph IX of the Plan.</w:t>
      </w:r>
    </w:p>
    <w:p>
      <w:pPr>
        <w:spacing w:after="0" w:line="160" w:lineRule="exact"/>
        <w:rPr>
          <w:rFonts w:ascii="Times New Roman" w:cs="Times New Roman" w:eastAsia="Times New Roman" w:hAnsi="Times New Roman"/>
          <w:sz w:val="19"/>
          <w:szCs w:val="19"/>
          <w:color w:val="auto"/>
        </w:rPr>
      </w:pPr>
    </w:p>
    <w:p>
      <w:pPr>
        <w:ind w:firstLine="631"/>
        <w:spacing w:after="0" w:line="254" w:lineRule="auto"/>
        <w:tabs>
          <w:tab w:leader="none" w:pos="13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Award Agreement"</w:t>
      </w:r>
      <w:r>
        <w:rPr>
          <w:rFonts w:ascii="Times New Roman" w:cs="Times New Roman" w:eastAsia="Times New Roman" w:hAnsi="Times New Roman"/>
          <w:sz w:val="19"/>
          <w:szCs w:val="19"/>
          <w:color w:val="auto"/>
        </w:rPr>
        <w:t xml:space="preserve"> means a written agreement between the Company and a Participant with respect to a Performance Award.</w:t>
      </w:r>
    </w:p>
    <w:p>
      <w:pPr>
        <w:spacing w:after="0" w:line="111" w:lineRule="exact"/>
        <w:rPr>
          <w:rFonts w:ascii="Times New Roman" w:cs="Times New Roman" w:eastAsia="Times New Roman" w:hAnsi="Times New Roman"/>
          <w:sz w:val="19"/>
          <w:szCs w:val="19"/>
          <w:color w:val="auto"/>
        </w:rPr>
      </w:pPr>
    </w:p>
    <w:p>
      <w:pPr>
        <w:jc w:val="both"/>
        <w:ind w:firstLine="631"/>
        <w:spacing w:after="0" w:line="213" w:lineRule="auto"/>
        <w:tabs>
          <w:tab w:leader="none" w:pos="116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Measure"</w:t>
      </w:r>
      <w:r>
        <w:rPr>
          <w:rFonts w:ascii="Times New Roman" w:cs="Times New Roman" w:eastAsia="Times New Roman" w:hAnsi="Times New Roman"/>
          <w:sz w:val="19"/>
          <w:szCs w:val="19"/>
          <w:color w:val="auto"/>
        </w:rPr>
        <w:t xml:space="preserve"> means one or more performance measures established by the Committee that are based on (i) the price of a share of Common Stock, (ii) earnings per share, (iii) market share, (iv) sales, (v) operating income or operating income margin, (vi) net income or net income margin (before or after taxes), (vii) cash flow or return on investment, (viii) the earnings or earnings margin before or after interest, taxes, depreciation, and/or amortization, (ix) the economic value added, (x) the return on capital, assets, or stockholders' equity, (xi) the total stockholders' return, (xii) working capital efficiency, (xiii) safety performance, (xiv) after-tax operating income, (xv) capital efficiency, (xvi) cash from operations, (xvii) cost ratios, (xviii) cost reductions, (xix) customer growth, (xx) debt reduction, (xxi) earnings per share growth, (xxii) increase in cash flow, (xxiii) increase in cash flow return, (xxiv) increased revenue, (xxv) internal rate of return, (xxvi) net cash flow, (xxvii) net cash flow before financing activities, (xxviii) net income per share, (xxix) proceeds from dispositions, (xxx) project completion time and budget goals, (xxxi) return on equity, (xxxii) return on net assets, (xxxiii) return on capital compared to cost of capital, (xxxiv) return on capital employed, (xxxv) return on invested capital, (xxxvi) revenue ratios, (xxxvii) shareholder value, (xxxviii) total market value, (xxxix) such other criteria as determined by the Committee or (xl) any combination of the foregoing. The performance measures described in the preceding sentence may be absolute, relative to one or more other companies, relative to one or more indices, or measured by reference to the Company alone, an Affiliate, an individual, a business unit of the Company or an Affiliate, or the Company together with one or more of its Affiliates. Unless otherwise stated, such Performance Measures need not be based upon an increase or positive result under a particular business criterion and could include, for example, maintaining the status quo or limiting economic losses (measured, in each case, by reference to specific business criteria). The Committee may provide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extraordinary items as described in FASB ASC Topic No. 360 and/or nonrecurring, unusual or special items as described in management's discussion and analysis of financial condition and results of operations appearing in the Company's annual report to stockholders, Form 10-K or Form 10-Q for the applicable period, (f) acquisitions or divestitures, (g) foreign exchange gains and losses, (h) regulatory requirements, (i) settlement of hedging activities, and (j) other specified significant extraordinary items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1240"/>
          </w:cols>
          <w:pgMar w:left="320" w:top="1357" w:right="339" w:bottom="1440" w:gutter="0" w:footer="0" w:header="0"/>
        </w:sectPr>
      </w:pPr>
    </w:p>
    <w:bookmarkStart w:id="68" w:name="page69"/>
    <w:bookmarkEnd w:id="68"/>
    <w:p>
      <w:pPr>
        <w:ind w:firstLine="631"/>
        <w:spacing w:after="0" w:line="254" w:lineRule="auto"/>
        <w:tabs>
          <w:tab w:leader="none" w:pos="119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xml:space="preserve"> means the Forum Energy Technologies, Inc. 2016 Stock and Incentive Plan, effective as of May 17, 2016 and as thereafter amended and restated.</w:t>
      </w:r>
    </w:p>
    <w:p>
      <w:pPr>
        <w:spacing w:after="0" w:line="112" w:lineRule="exact"/>
        <w:rPr>
          <w:sz w:val="20"/>
          <w:szCs w:val="20"/>
          <w:color w:val="auto"/>
        </w:rPr>
      </w:pPr>
    </w:p>
    <w:p>
      <w:pPr>
        <w:ind w:left="1180" w:hanging="549"/>
        <w:spacing w:after="0"/>
        <w:tabs>
          <w:tab w:leader="none" w:pos="11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Required Delay Period"</w:t>
      </w:r>
      <w:r>
        <w:rPr>
          <w:rFonts w:ascii="Times New Roman" w:cs="Times New Roman" w:eastAsia="Times New Roman" w:hAnsi="Times New Roman"/>
          <w:sz w:val="19"/>
          <w:szCs w:val="19"/>
          <w:color w:val="auto"/>
        </w:rPr>
        <w:t xml:space="preserve"> shall have the meaning assigned to such term in Paragraph XV(c) of the Plan</w:t>
      </w:r>
    </w:p>
    <w:p>
      <w:pPr>
        <w:spacing w:after="0" w:line="160" w:lineRule="exact"/>
        <w:rPr>
          <w:rFonts w:ascii="Times New Roman" w:cs="Times New Roman" w:eastAsia="Times New Roman" w:hAnsi="Times New Roman"/>
          <w:sz w:val="19"/>
          <w:szCs w:val="19"/>
          <w:color w:val="auto"/>
        </w:rPr>
      </w:pPr>
    </w:p>
    <w:p>
      <w:pPr>
        <w:ind w:left="1260" w:hanging="629"/>
        <w:spacing w:after="0"/>
        <w:tabs>
          <w:tab w:leader="none" w:pos="12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Agreement"</w:t>
      </w:r>
      <w:r>
        <w:rPr>
          <w:rFonts w:ascii="Times New Roman" w:cs="Times New Roman" w:eastAsia="Times New Roman" w:hAnsi="Times New Roman"/>
          <w:sz w:val="19"/>
          <w:szCs w:val="19"/>
          <w:color w:val="auto"/>
        </w:rPr>
        <w:t xml:space="preserve"> means a written agreement between the Company and a Participant with respect to a Restricted</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Award.</w:t>
      </w:r>
    </w:p>
    <w:p>
      <w:pPr>
        <w:spacing w:after="0" w:line="134" w:lineRule="exact"/>
        <w:rPr>
          <w:rFonts w:ascii="Times New Roman" w:cs="Times New Roman" w:eastAsia="Times New Roman" w:hAnsi="Times New Roman"/>
          <w:sz w:val="19"/>
          <w:szCs w:val="19"/>
          <w:color w:val="auto"/>
        </w:rPr>
      </w:pPr>
    </w:p>
    <w:p>
      <w:pPr>
        <w:ind w:left="1100" w:hanging="469"/>
        <w:spacing w:after="0"/>
        <w:tabs>
          <w:tab w:leader="none" w:pos="11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w:t>
      </w:r>
      <w:r>
        <w:rPr>
          <w:rFonts w:ascii="Times New Roman" w:cs="Times New Roman" w:eastAsia="Times New Roman" w:hAnsi="Times New Roman"/>
          <w:sz w:val="19"/>
          <w:szCs w:val="19"/>
          <w:color w:val="auto"/>
        </w:rPr>
        <w:t xml:space="preserve"> means an Award granted under Paragraph VIII of the Plan.</w:t>
      </w:r>
    </w:p>
    <w:p>
      <w:pPr>
        <w:spacing w:after="0" w:line="173" w:lineRule="exact"/>
        <w:rPr>
          <w:rFonts w:ascii="Times New Roman" w:cs="Times New Roman" w:eastAsia="Times New Roman" w:hAnsi="Times New Roman"/>
          <w:sz w:val="19"/>
          <w:szCs w:val="19"/>
          <w:color w:val="auto"/>
        </w:rPr>
      </w:pPr>
    </w:p>
    <w:p>
      <w:pPr>
        <w:ind w:firstLine="631"/>
        <w:spacing w:after="0"/>
        <w:tabs>
          <w:tab w:leader="none" w:pos="113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w:t>
      </w:r>
      <w:r>
        <w:rPr>
          <w:rFonts w:ascii="Times New Roman" w:cs="Times New Roman" w:eastAsia="Times New Roman" w:hAnsi="Times New Roman"/>
          <w:sz w:val="19"/>
          <w:szCs w:val="19"/>
          <w:color w:val="auto"/>
        </w:rPr>
        <w:t xml:space="preserve"> means a unit evidencing the right to receive in specified circumstances one share of Common Stock or in the sole discretion of the Committee, an equivalent value in cash that is restricted or subject to forfeiture provisions.</w:t>
      </w:r>
    </w:p>
    <w:p>
      <w:pPr>
        <w:spacing w:after="0" w:line="137" w:lineRule="exact"/>
        <w:rPr>
          <w:rFonts w:ascii="Times New Roman" w:cs="Times New Roman" w:eastAsia="Times New Roman" w:hAnsi="Times New Roman"/>
          <w:sz w:val="19"/>
          <w:szCs w:val="19"/>
          <w:color w:val="auto"/>
        </w:rPr>
      </w:pPr>
    </w:p>
    <w:p>
      <w:pPr>
        <w:ind w:left="1180" w:hanging="549"/>
        <w:spacing w:after="0"/>
        <w:tabs>
          <w:tab w:leader="none" w:pos="11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w:t>
      </w:r>
      <w:r>
        <w:rPr>
          <w:rFonts w:ascii="Times New Roman" w:cs="Times New Roman" w:eastAsia="Times New Roman" w:hAnsi="Times New Roman"/>
          <w:sz w:val="19"/>
          <w:szCs w:val="19"/>
          <w:color w:val="auto"/>
        </w:rPr>
        <w:t xml:space="preserve"> means an Award granted under Paragraph X of the Plan.</w:t>
      </w:r>
    </w:p>
    <w:p>
      <w:pPr>
        <w:spacing w:after="0" w:line="160" w:lineRule="exact"/>
        <w:rPr>
          <w:rFonts w:ascii="Times New Roman" w:cs="Times New Roman" w:eastAsia="Times New Roman" w:hAnsi="Times New Roman"/>
          <w:sz w:val="19"/>
          <w:szCs w:val="19"/>
          <w:color w:val="auto"/>
        </w:rPr>
      </w:pPr>
    </w:p>
    <w:p>
      <w:pPr>
        <w:ind w:firstLine="631"/>
        <w:spacing w:after="0" w:line="254" w:lineRule="auto"/>
        <w:tabs>
          <w:tab w:leader="none" w:pos="116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 Agreement"</w:t>
      </w:r>
      <w:r>
        <w:rPr>
          <w:rFonts w:ascii="Times New Roman" w:cs="Times New Roman" w:eastAsia="Times New Roman" w:hAnsi="Times New Roman"/>
          <w:sz w:val="19"/>
          <w:szCs w:val="19"/>
          <w:color w:val="auto"/>
        </w:rPr>
        <w:t xml:space="preserve"> means a written agreement between the Company and a Participant with respect to a Restricted Stock Unit Award.</w:t>
      </w:r>
    </w:p>
    <w:p>
      <w:pPr>
        <w:spacing w:after="0" w:line="111" w:lineRule="exact"/>
        <w:rPr>
          <w:rFonts w:ascii="Times New Roman" w:cs="Times New Roman" w:eastAsia="Times New Roman" w:hAnsi="Times New Roman"/>
          <w:sz w:val="19"/>
          <w:szCs w:val="19"/>
          <w:color w:val="auto"/>
        </w:rPr>
      </w:pPr>
    </w:p>
    <w:p>
      <w:pPr>
        <w:ind w:firstLine="631"/>
        <w:spacing w:after="0"/>
        <w:tabs>
          <w:tab w:leader="none" w:pos="138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xml:space="preserve"> means Securities Exchange Commission Rule 16b-3 promulgated under the Exchange Act, as such may be amended from time to time, and any successor rule, regulation, or statute fulfilling the same or a similar function.</w:t>
      </w:r>
    </w:p>
    <w:p>
      <w:pPr>
        <w:spacing w:after="0" w:line="137" w:lineRule="exact"/>
        <w:rPr>
          <w:rFonts w:ascii="Times New Roman" w:cs="Times New Roman" w:eastAsia="Times New Roman" w:hAnsi="Times New Roman"/>
          <w:sz w:val="19"/>
          <w:szCs w:val="19"/>
          <w:color w:val="auto"/>
        </w:rPr>
      </w:pPr>
    </w:p>
    <w:p>
      <w:pPr>
        <w:jc w:val="both"/>
        <w:ind w:firstLine="631"/>
        <w:spacing w:after="0" w:line="227" w:lineRule="auto"/>
        <w:tabs>
          <w:tab w:leader="none" w:pos="113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xml:space="preserve">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126" w:lineRule="exact"/>
        <w:rPr>
          <w:rFonts w:ascii="Times New Roman" w:cs="Times New Roman" w:eastAsia="Times New Roman" w:hAnsi="Times New Roman"/>
          <w:sz w:val="19"/>
          <w:szCs w:val="19"/>
          <w:color w:val="auto"/>
        </w:rPr>
      </w:pPr>
    </w:p>
    <w:p>
      <w:pPr>
        <w:ind w:firstLine="631"/>
        <w:spacing w:after="0" w:line="254" w:lineRule="auto"/>
        <w:tabs>
          <w:tab w:leader="none" w:pos="121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 Agreement"</w:t>
      </w:r>
      <w:r>
        <w:rPr>
          <w:rFonts w:ascii="Times New Roman" w:cs="Times New Roman" w:eastAsia="Times New Roman" w:hAnsi="Times New Roman"/>
          <w:sz w:val="19"/>
          <w:szCs w:val="19"/>
          <w:color w:val="auto"/>
        </w:rPr>
        <w:t xml:space="preserve"> means a written agreement between the Company and Participant with respect to a Stock Appreciation Right.</w:t>
      </w:r>
    </w:p>
    <w:p>
      <w:pPr>
        <w:spacing w:after="0" w:line="113" w:lineRule="exact"/>
        <w:rPr>
          <w:rFonts w:ascii="Times New Roman" w:cs="Times New Roman" w:eastAsia="Times New Roman" w:hAnsi="Times New Roman"/>
          <w:sz w:val="19"/>
          <w:szCs w:val="19"/>
          <w:color w:val="auto"/>
        </w:rPr>
      </w:pPr>
    </w:p>
    <w:p>
      <w:pPr>
        <w:ind w:left="3520" w:hanging="321"/>
        <w:spacing w:after="0"/>
        <w:tabs>
          <w:tab w:leader="none" w:pos="3520" w:val="left"/>
        </w:tabs>
        <w:numPr>
          <w:ilvl w:val="1"/>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EFFECTIVE DATE AND DURATION OF THE PLAN</w:t>
      </w:r>
    </w:p>
    <w:p>
      <w:pPr>
        <w:spacing w:after="0" w:line="162" w:lineRule="exact"/>
        <w:rPr>
          <w:sz w:val="20"/>
          <w:szCs w:val="20"/>
          <w:color w:val="auto"/>
        </w:rPr>
      </w:pPr>
    </w:p>
    <w:p>
      <w:pPr>
        <w:ind w:firstLine="627"/>
        <w:spacing w:after="0" w:line="227" w:lineRule="auto"/>
        <w:rPr>
          <w:sz w:val="20"/>
          <w:szCs w:val="20"/>
          <w:color w:val="auto"/>
        </w:rPr>
      </w:pPr>
      <w:r>
        <w:rPr>
          <w:rFonts w:ascii="Times New Roman" w:cs="Times New Roman" w:eastAsia="Times New Roman" w:hAnsi="Times New Roman"/>
          <w:sz w:val="19"/>
          <w:szCs w:val="19"/>
          <w:color w:val="auto"/>
        </w:rPr>
        <w:t>The Plan as amended and restated herein will be submitted to the stockholders of the Company for approval at the 2020 annual meeting of the stockholders and, if approved, shall be effective as of the date of such approval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If the stockholders of the Company</w:t>
      </w:r>
    </w:p>
    <w:p>
      <w:pPr>
        <w:spacing w:after="0" w:line="207" w:lineRule="auto"/>
        <w:rPr>
          <w:sz w:val="20"/>
          <w:szCs w:val="20"/>
          <w:color w:val="auto"/>
        </w:rPr>
      </w:pPr>
      <w:r>
        <w:rPr>
          <w:rFonts w:ascii="Times New Roman" w:cs="Times New Roman" w:eastAsia="Times New Roman" w:hAnsi="Times New Roman"/>
          <w:sz w:val="19"/>
          <w:szCs w:val="19"/>
          <w:color w:val="auto"/>
        </w:rPr>
        <w:t>should fail to so approve the Plan at such meeting, the Plan as amended and restated herein shall terminate and cease to be of any further force or effect, and all grants of Awards hereunder, if any, shall be null and void, and the Plan as in effect immediately prior to the amendment and</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restatement herein and prior to the stockholder vote shall remain in effect. No Award shall be made under the Plan 10 years or more after the Effective Date.</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Subject to the provisions of Paragraph XIV, the Plan shall remain in effect until all Options and Stock Appreciation Rights granted under</w:t>
      </w:r>
    </w:p>
    <w:p>
      <w:pPr>
        <w:spacing w:after="0" w:line="225" w:lineRule="auto"/>
        <w:rPr>
          <w:sz w:val="20"/>
          <w:szCs w:val="20"/>
          <w:color w:val="auto"/>
        </w:rPr>
      </w:pPr>
      <w:r>
        <w:rPr>
          <w:rFonts w:ascii="Times New Roman" w:cs="Times New Roman" w:eastAsia="Times New Roman" w:hAnsi="Times New Roman"/>
          <w:sz w:val="19"/>
          <w:szCs w:val="19"/>
          <w:color w:val="auto"/>
        </w:rPr>
        <w:t>the Plan have been exercised or expired, all Restricted Stock Awards and Restricted Stock Unit Awards granted under the Plan have vested or been forfeited, and all Performance Awards, Bonus Stock Awards and Cash Awards have been satisfied or expired.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IV. ADMINISTRATION</w:t>
      </w:r>
    </w:p>
    <w:p>
      <w:pPr>
        <w:spacing w:after="0" w:line="160" w:lineRule="exact"/>
        <w:rPr>
          <w:sz w:val="20"/>
          <w:szCs w:val="20"/>
          <w:color w:val="auto"/>
        </w:rPr>
      </w:pPr>
    </w:p>
    <w:p>
      <w:pPr>
        <w:jc w:val="both"/>
        <w:ind w:firstLine="631"/>
        <w:spacing w:after="0" w:line="221" w:lineRule="auto"/>
        <w:tabs>
          <w:tab w:leader="none" w:pos="1056"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Composition of Committee</w:t>
      </w:r>
      <w:r>
        <w:rPr>
          <w:rFonts w:ascii="Times New Roman" w:cs="Times New Roman" w:eastAsia="Times New Roman" w:hAnsi="Times New Roman"/>
          <w:sz w:val="19"/>
          <w:szCs w:val="19"/>
          <w:color w:val="auto"/>
        </w:rPr>
        <w:t>. The Plan shall be administered by the Committee;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any and all members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Committee shall satisfy any independence requirements prescribed by any stock exchange on which the Company lists its Common Stock; and</w:t>
      </w:r>
    </w:p>
    <w:p>
      <w:pPr>
        <w:ind w:left="300" w:hanging="296"/>
        <w:spacing w:after="0" w:line="215" w:lineRule="auto"/>
        <w:tabs>
          <w:tab w:leader="none" w:pos="3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Awards may be granted to individuals who are subject to Section 16(b) of the Exchange Act only if the Committee is comprised solely of two</w:t>
      </w:r>
    </w:p>
    <w:p>
      <w:pPr>
        <w:spacing w:after="0" w:line="215" w:lineRule="auto"/>
        <w:rPr>
          <w:sz w:val="20"/>
          <w:szCs w:val="20"/>
          <w:color w:val="auto"/>
        </w:rPr>
      </w:pPr>
      <w:r>
        <w:rPr>
          <w:rFonts w:ascii="Times New Roman" w:cs="Times New Roman" w:eastAsia="Times New Roman" w:hAnsi="Times New Roman"/>
          <w:sz w:val="19"/>
          <w:szCs w:val="19"/>
          <w:color w:val="auto"/>
        </w:rPr>
        <w:t>or more "Non-Employee Directors" as defined in Securities and Exchange Commission Rule 16b-3 (as amended from time to time, and any</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successor rule, regulation or statute fulfilling the same or similar function);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any such committee member is found not to have met the qualification requirements set forth in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11240"/>
          </w:cols>
          <w:pgMar w:left="320" w:top="1353" w:right="339" w:bottom="1440" w:gutter="0" w:footer="0" w:header="0"/>
        </w:sectPr>
      </w:pPr>
    </w:p>
    <w:bookmarkStart w:id="69" w:name="page70"/>
    <w:bookmarkEnd w:id="69"/>
    <w:p>
      <w:pPr>
        <w:spacing w:after="0" w:line="250" w:lineRule="auto"/>
        <w:rPr>
          <w:sz w:val="20"/>
          <w:szCs w:val="20"/>
          <w:color w:val="auto"/>
        </w:rPr>
      </w:pPr>
      <w:r>
        <w:rPr>
          <w:rFonts w:ascii="Times New Roman" w:cs="Times New Roman" w:eastAsia="Times New Roman" w:hAnsi="Times New Roman"/>
          <w:sz w:val="19"/>
          <w:szCs w:val="19"/>
          <w:color w:val="auto"/>
        </w:rPr>
        <w:t>any actions taken or Awards granted by such committee shall not be invalidated by such failure to so qualify. In the absence of the Board's appointment of a committee to administer the Plan, the Board shall serve as the Committee.</w:t>
      </w:r>
    </w:p>
    <w:p>
      <w:pPr>
        <w:spacing w:after="0" w:line="117" w:lineRule="exact"/>
        <w:rPr>
          <w:sz w:val="20"/>
          <w:szCs w:val="20"/>
          <w:color w:val="auto"/>
        </w:rPr>
      </w:pPr>
    </w:p>
    <w:p>
      <w:pPr>
        <w:jc w:val="both"/>
        <w:ind w:firstLine="631"/>
        <w:spacing w:after="0" w:line="217" w:lineRule="auto"/>
        <w:tabs>
          <w:tab w:leader="none" w:pos="108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Powers</w:t>
      </w:r>
      <w:r>
        <w:rPr>
          <w:rFonts w:ascii="Times New Roman" w:cs="Times New Roman" w:eastAsia="Times New Roman" w:hAnsi="Times New Roman"/>
          <w:sz w:val="19"/>
          <w:szCs w:val="19"/>
          <w:color w:val="auto"/>
        </w:rPr>
        <w:t>. Subject to the express provisions of the Plan, the Committee shall have authority, in its discretion, to (i) determine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Consultants, or Directors shall receive an Award, (ii) determine the time or times when such Award shall be made, the type of Award that shall be made, the number of shares to be subject to each Award or the value of each Award, and (iii) to accelerate the vesting or exercisability of an Award, eliminate or make less restrictive any restrictions contained in an Award or waive any restriction or other provision of the Plan or an Award. In making such determinations, the Committee shall take into account the nature of the services rendered by the respective Employees, Consultants, or Directors, their present and potential contribution to the Company's success, and such other factors as the Committee in its sole discretion shall deem relevant. No dividends or dividend equivalents with respect to any Award shall be payable prior to the vesting of such Award or prior to the expiration of the Forfeiture Restrictions applicable to such Award, and in the event an Award is forfeited, any dividends or dividend equivalents with respect to such Award shall also be forfeited.</w:t>
      </w:r>
    </w:p>
    <w:p>
      <w:pPr>
        <w:spacing w:after="0" w:line="141" w:lineRule="exact"/>
        <w:rPr>
          <w:rFonts w:ascii="Times New Roman" w:cs="Times New Roman" w:eastAsia="Times New Roman" w:hAnsi="Times New Roman"/>
          <w:sz w:val="19"/>
          <w:szCs w:val="19"/>
          <w:color w:val="auto"/>
        </w:rPr>
      </w:pPr>
    </w:p>
    <w:p>
      <w:pPr>
        <w:jc w:val="both"/>
        <w:ind w:firstLine="631"/>
        <w:spacing w:after="0" w:line="217" w:lineRule="auto"/>
        <w:tabs>
          <w:tab w:leader="none" w:pos="109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Additional Powers</w:t>
      </w:r>
      <w:r>
        <w:rPr>
          <w:rFonts w:ascii="Times New Roman" w:cs="Times New Roman" w:eastAsia="Times New Roman" w:hAnsi="Times New Roman"/>
          <w:sz w:val="19"/>
          <w:szCs w:val="19"/>
          <w:color w:val="auto"/>
        </w:rPr>
        <w:t>. The Committee shall have such additional powers as are delegated to it by the other provisions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express provisions of the Plan, this shall include the power to construe the Plan and the respective agreements executed hereunder, to prescribe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129" w:lineRule="exact"/>
        <w:rPr>
          <w:rFonts w:ascii="Times New Roman" w:cs="Times New Roman" w:eastAsia="Times New Roman" w:hAnsi="Times New Roman"/>
          <w:sz w:val="19"/>
          <w:szCs w:val="19"/>
          <w:color w:val="auto"/>
        </w:rPr>
      </w:pPr>
    </w:p>
    <w:p>
      <w:pPr>
        <w:jc w:val="both"/>
        <w:ind w:firstLine="631"/>
        <w:spacing w:after="0" w:line="217" w:lineRule="auto"/>
        <w:tabs>
          <w:tab w:leader="none" w:pos="105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Delegation of Authority by the Committee</w:t>
      </w:r>
      <w:r>
        <w:rPr>
          <w:rFonts w:ascii="Times New Roman" w:cs="Times New Roman" w:eastAsia="Times New Roman" w:hAnsi="Times New Roman"/>
          <w:sz w:val="19"/>
          <w:szCs w:val="19"/>
          <w:color w:val="auto"/>
        </w:rPr>
        <w:t>. Notwithstanding the preceding provisions of this Paragraph IV or any other provision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Plan to the contrary, subject to the constraints of applicable law, the Committee may from time to time, in its sole discretion, delegate to the Chief Executive Officer of the Company the administration (or interpretation of any provision) of the Plan, and the right to grant Awards under the Plan, insofar as such administration (and interpretation) and power to grant Awards relates to any person who is not subject to Section 16 of the Exchange Act (including any successor Section to the same or similar effect). Any such delegation may be effective only so long as the Chief Executive Officer of the Company is a Director, and the Committee may revoke such delegation at any time. The Committee may put any conditions and restrictions on the powers that may be exercised by the Chief Executive Officer of the Company upon such delegation as the Committee determines in its sole discretion. In the event of any conflict in a determination or interpretation under the Plan as between the Committee and the Chief Executive Officer of the Company, the determination or interpretation, as applicable, of the Committee shall be conclusive.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 SHARES SUBJECT TO THE PLAN; AWARD LIMITS; GRANT OF AWARDS</w:t>
      </w:r>
    </w:p>
    <w:p>
      <w:pPr>
        <w:spacing w:after="0" w:line="160" w:lineRule="exact"/>
        <w:rPr>
          <w:sz w:val="20"/>
          <w:szCs w:val="20"/>
          <w:color w:val="auto"/>
        </w:rPr>
      </w:pPr>
    </w:p>
    <w:p>
      <w:pPr>
        <w:jc w:val="both"/>
        <w:ind w:firstLine="631"/>
        <w:spacing w:after="0" w:line="217" w:lineRule="auto"/>
        <w:tabs>
          <w:tab w:leader="none" w:pos="112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Shares Subject to the Plan and Award Limits</w:t>
      </w:r>
      <w:r>
        <w:rPr>
          <w:rFonts w:ascii="Times New Roman" w:cs="Times New Roman" w:eastAsia="Times New Roman" w:hAnsi="Times New Roman"/>
          <w:sz w:val="19"/>
          <w:szCs w:val="19"/>
          <w:color w:val="auto"/>
        </w:rPr>
        <w:t>. Subject to adjustment in the same manner as provided in Paragraph XII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 to shares of 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w:t>
      </w:r>
      <w:r>
        <w:rPr>
          <w:rFonts w:ascii="Times New Roman" w:cs="Times New Roman" w:eastAsia="Times New Roman" w:hAnsi="Times New Roman"/>
          <w:sz w:val="19"/>
          <w:szCs w:val="19"/>
          <w:color w:val="auto"/>
          <w:strike w:val="1"/>
        </w:rPr>
        <w:t>623,701</w:t>
      </w:r>
      <w:r>
        <w:rPr>
          <w:rFonts w:ascii="Times New Roman" w:cs="Times New Roman" w:eastAsia="Times New Roman" w:hAnsi="Times New Roman"/>
          <w:sz w:val="19"/>
          <w:szCs w:val="19"/>
          <w:color w:val="auto"/>
        </w:rPr>
        <w:t xml:space="preserve"> 1,555,701 shares. To the extent that an Award is forfeited, cancelled, settled in cash, expires unexercised, lapses or the rights of its holder otherwise terminate, any shares of Common Stock subject to such Award shall again be available for the grant of an Award under the Plan. Notwithstanding the forgoing, shares surrendered in payment of the exercise price or purchase price of an Award, shares withheld for payment of applicable employment taxes and/or withholding obligations associated with an Award, and shares reacquired in the open market or otherwise using the cash proceeds from the exercise of Options shall not again be available for the grant of an Award under the Plan. For the avoidance of doubt, with respect to Options and Stock Appreciation Rights that are settled in shares of Common Stock, the number of Options and Stock Appreciation Rights exercised shall be counted in full against the number of shares available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11240"/>
          </w:cols>
          <w:pgMar w:left="320" w:top="1357" w:right="339" w:bottom="1440" w:gutter="0" w:footer="0" w:header="0"/>
        </w:sectPr>
      </w:pPr>
    </w:p>
    <w:bookmarkStart w:id="70" w:name="page71"/>
    <w:bookmarkEnd w:id="70"/>
    <w:p>
      <w:pPr>
        <w:spacing w:after="0" w:line="250" w:lineRule="auto"/>
        <w:rPr>
          <w:sz w:val="20"/>
          <w:szCs w:val="20"/>
          <w:color w:val="auto"/>
        </w:rPr>
      </w:pPr>
      <w:r>
        <w:rPr>
          <w:rFonts w:ascii="Times New Roman" w:cs="Times New Roman" w:eastAsia="Times New Roman" w:hAnsi="Times New Roman"/>
          <w:sz w:val="19"/>
          <w:szCs w:val="19"/>
          <w:color w:val="auto"/>
        </w:rPr>
        <w:t>regardless of the number of Common Shares issued upon settlement of Options and Stock Appreciation Rights. Notwithstanding any provision in the Plan to the contrary, the following limitations shall apply to all Awards made hereunder:</w:t>
      </w:r>
    </w:p>
    <w:p>
      <w:pPr>
        <w:spacing w:after="0" w:line="119" w:lineRule="exact"/>
        <w:rPr>
          <w:sz w:val="20"/>
          <w:szCs w:val="20"/>
          <w:color w:val="auto"/>
        </w:rPr>
      </w:pPr>
    </w:p>
    <w:p>
      <w:pPr>
        <w:ind w:left="640" w:firstLine="618"/>
        <w:spacing w:after="0" w:line="250" w:lineRule="auto"/>
        <w:tabs>
          <w:tab w:leader="none" w:pos="171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number of shares of Common Stock that may be subject to Awards denominated in shares of Common Stock granted to any one individual during any calendar year may not exceed 200,000 shares of Common Stock;</w:t>
      </w:r>
    </w:p>
    <w:p>
      <w:pPr>
        <w:spacing w:after="0" w:line="119" w:lineRule="exact"/>
        <w:rPr>
          <w:rFonts w:ascii="Times New Roman" w:cs="Times New Roman" w:eastAsia="Times New Roman" w:hAnsi="Times New Roman"/>
          <w:sz w:val="19"/>
          <w:szCs w:val="19"/>
          <w:color w:val="auto"/>
        </w:rPr>
      </w:pPr>
    </w:p>
    <w:p>
      <w:pPr>
        <w:ind w:left="640" w:firstLine="618"/>
        <w:spacing w:after="0" w:line="250" w:lineRule="auto"/>
        <w:tabs>
          <w:tab w:leader="none" w:pos="175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Participant may be granted during any calendar year Awards consisting of Options or Stock Appreciation Rights that are exercisable for more 200,000 shares of Common Stock;</w:t>
      </w:r>
    </w:p>
    <w:p>
      <w:pPr>
        <w:spacing w:after="0" w:line="119" w:lineRule="exact"/>
        <w:rPr>
          <w:rFonts w:ascii="Times New Roman" w:cs="Times New Roman" w:eastAsia="Times New Roman" w:hAnsi="Times New Roman"/>
          <w:sz w:val="19"/>
          <w:szCs w:val="19"/>
          <w:color w:val="auto"/>
        </w:rPr>
      </w:pPr>
    </w:p>
    <w:p>
      <w:pPr>
        <w:ind w:left="640" w:firstLine="618"/>
        <w:spacing w:after="0" w:line="250" w:lineRule="auto"/>
        <w:tabs>
          <w:tab w:leader="none" w:pos="186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Participant may be granted during any calendar year Cash Awards having a value determined on the date of grant in excess of $20,000,000;</w:t>
      </w:r>
    </w:p>
    <w:p>
      <w:pPr>
        <w:spacing w:after="0" w:line="119" w:lineRule="exact"/>
        <w:rPr>
          <w:rFonts w:ascii="Times New Roman" w:cs="Times New Roman" w:eastAsia="Times New Roman" w:hAnsi="Times New Roman"/>
          <w:sz w:val="19"/>
          <w:szCs w:val="19"/>
          <w:color w:val="auto"/>
        </w:rPr>
      </w:pPr>
    </w:p>
    <w:p>
      <w:pPr>
        <w:ind w:left="640" w:firstLine="618"/>
        <w:spacing w:after="0" w:line="250" w:lineRule="auto"/>
        <w:tabs>
          <w:tab w:leader="none" w:pos="18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due with respect to a Performance Award shall be paid no later than 10 years after the date of grant of such Performance Award; and</w:t>
      </w:r>
    </w:p>
    <w:p>
      <w:pPr>
        <w:spacing w:after="0" w:line="119" w:lineRule="exact"/>
        <w:rPr>
          <w:rFonts w:ascii="Times New Roman" w:cs="Times New Roman" w:eastAsia="Times New Roman" w:hAnsi="Times New Roman"/>
          <w:sz w:val="19"/>
          <w:szCs w:val="19"/>
          <w:color w:val="auto"/>
        </w:rPr>
      </w:pPr>
    </w:p>
    <w:p>
      <w:pPr>
        <w:jc w:val="both"/>
        <w:ind w:left="640" w:firstLine="618"/>
        <w:spacing w:after="0" w:line="226" w:lineRule="auto"/>
        <w:tabs>
          <w:tab w:leader="none" w:pos="185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Awards to Directors shall not be made in any year in which a sufficient number of shares of Common Stock are not available to make such Awards under the Plan, and no Director may be granted during any calendar year Awards under the Plan (valued as determined on the date of grant) and cash compensation granted under the Plan or otherwise having an aggregate value in excess of $950,000.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Paragraph XII hereof, any Award other than an Award that is payable solely in cash shall have a minimum restricted period or vesting</w:t>
      </w:r>
    </w:p>
    <w:p>
      <w:pPr>
        <w:spacing w:after="0" w:line="207" w:lineRule="auto"/>
        <w:rPr>
          <w:sz w:val="20"/>
          <w:szCs w:val="20"/>
          <w:color w:val="auto"/>
        </w:rPr>
      </w:pPr>
      <w:r>
        <w:rPr>
          <w:rFonts w:ascii="Times New Roman" w:cs="Times New Roman" w:eastAsia="Times New Roman" w:hAnsi="Times New Roman"/>
          <w:sz w:val="19"/>
          <w:szCs w:val="19"/>
          <w:color w:val="auto"/>
        </w:rPr>
        <w:t>period of one year from the date of grant (the "</w:t>
      </w:r>
      <w:r>
        <w:rPr>
          <w:rFonts w:ascii="Times New Roman" w:cs="Times New Roman" w:eastAsia="Times New Roman" w:hAnsi="Times New Roman"/>
          <w:sz w:val="19"/>
          <w:szCs w:val="19"/>
          <w:b w:val="1"/>
          <w:bCs w:val="1"/>
          <w:i w:val="1"/>
          <w:iCs w:val="1"/>
          <w:color w:val="auto"/>
        </w:rPr>
        <w:t>Minimum Restrictions"</w:t>
      </w:r>
      <w:r>
        <w:rPr>
          <w:rFonts w:ascii="Times New Roman" w:cs="Times New Roman" w:eastAsia="Times New Roman" w:hAnsi="Times New Roman"/>
          <w:sz w:val="19"/>
          <w:szCs w:val="19"/>
          <w:color w:val="auto"/>
        </w:rPr>
        <w:t>). The foregoing notwithstanding, 5% of the total number of shares of Common Stock that may be issued under the Plan shall not be subject to the Minimum Restrictions. Notwithstanding any provision of the Plan to</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the contrary, each share of Common Stock acquired under this Plan must be held and transferred in compliance with the Forum Energy Technologies, Inc. Stock Ownership Requirements Policy.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Participant may be granted Awards in combination such that portions of the Award are subject to differing limitations set out in the clauses in</w:t>
      </w:r>
    </w:p>
    <w:p>
      <w:pPr>
        <w:spacing w:after="0" w:line="207" w:lineRule="auto"/>
        <w:rPr>
          <w:sz w:val="20"/>
          <w:szCs w:val="20"/>
          <w:color w:val="auto"/>
        </w:rPr>
      </w:pPr>
      <w:r>
        <w:rPr>
          <w:rFonts w:ascii="Times New Roman" w:cs="Times New Roman" w:eastAsia="Times New Roman" w:hAnsi="Times New Roman"/>
          <w:sz w:val="19"/>
          <w:szCs w:val="19"/>
          <w:color w:val="auto"/>
        </w:rPr>
        <w:t>this Paragraph V(a), in which event each portion of the combination Award is subject only to a single appropriate limitation in the clauses above. For example, if an Employee Participant is granted a Performance Award that is in part a stock-based Award and in part a Cash Award, then the</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stock-based awards shall only be subject to the limitation in clauses (i) and (ii) and the Cash Award shall be subject only to the limitation in clause (iii).</w:t>
      </w:r>
    </w:p>
    <w:p>
      <w:pPr>
        <w:spacing w:after="0" w:line="126" w:lineRule="exact"/>
        <w:rPr>
          <w:sz w:val="20"/>
          <w:szCs w:val="20"/>
          <w:color w:val="auto"/>
        </w:rPr>
      </w:pPr>
    </w:p>
    <w:p>
      <w:pPr>
        <w:jc w:val="both"/>
        <w:ind w:firstLine="631"/>
        <w:spacing w:after="0" w:line="219" w:lineRule="auto"/>
        <w:tabs>
          <w:tab w:leader="none" w:pos="105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 Offered</w:t>
      </w:r>
      <w:r>
        <w:rPr>
          <w:rFonts w:ascii="Times New Roman" w:cs="Times New Roman" w:eastAsia="Times New Roman" w:hAnsi="Times New Roman"/>
          <w:sz w:val="19"/>
          <w:szCs w:val="19"/>
          <w:color w:val="auto"/>
        </w:rPr>
        <w:t>. Subject to the limitations set forth in Paragraph V(a), the stock to be offered pursuant to the grant of an Award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authorized but unissued Common Stock or Common Stock previously issued and outstanding and reacquired by the Company. Any of such shares which remain unissued and which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VI. ELIGIBILITY</w:t>
      </w:r>
    </w:p>
    <w:p>
      <w:pPr>
        <w:spacing w:after="0" w:line="175" w:lineRule="exact"/>
        <w:rPr>
          <w:sz w:val="20"/>
          <w:szCs w:val="20"/>
          <w:color w:val="auto"/>
        </w:rPr>
      </w:pPr>
    </w:p>
    <w:p>
      <w:pPr>
        <w:ind w:firstLine="627"/>
        <w:spacing w:after="0" w:line="237" w:lineRule="auto"/>
        <w:rPr>
          <w:sz w:val="20"/>
          <w:szCs w:val="20"/>
          <w:color w:val="auto"/>
        </w:rPr>
      </w:pPr>
      <w:r>
        <w:rPr>
          <w:rFonts w:ascii="Times New Roman" w:cs="Times New Roman" w:eastAsia="Times New Roman" w:hAnsi="Times New Roman"/>
          <w:sz w:val="19"/>
          <w:szCs w:val="19"/>
          <w:color w:val="auto"/>
        </w:rPr>
        <w:t>Awards may be granted only to persons who, at the time of grant, are Employees, Consultants, or Directors. An Award may be granted on more than one occasion to the same person.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VII. STOCK OPTIONS AND STOCK APPRECIATION RIGHTS</w:t>
      </w:r>
    </w:p>
    <w:p>
      <w:pPr>
        <w:spacing w:after="0" w:line="160" w:lineRule="exact"/>
        <w:rPr>
          <w:sz w:val="20"/>
          <w:szCs w:val="20"/>
          <w:color w:val="auto"/>
        </w:rPr>
      </w:pPr>
    </w:p>
    <w:p>
      <w:pPr>
        <w:ind w:firstLine="631"/>
        <w:spacing w:after="0" w:line="252" w:lineRule="auto"/>
        <w:tabs>
          <w:tab w:leader="none" w:pos="104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Period</w:t>
      </w:r>
      <w:r>
        <w:rPr>
          <w:rFonts w:ascii="Times New Roman" w:cs="Times New Roman" w:eastAsia="Times New Roman" w:hAnsi="Times New Roman"/>
          <w:sz w:val="19"/>
          <w:szCs w:val="19"/>
          <w:color w:val="auto"/>
        </w:rPr>
        <w:t>. The term of each Option and Stock Appreciation Right shall be as specified by the Committee at the date of grant,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but in no event shall the term exceed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11240"/>
          </w:cols>
          <w:pgMar w:left="320" w:top="1357" w:right="339" w:bottom="1440" w:gutter="0" w:footer="0" w:header="0"/>
        </w:sectPr>
      </w:pPr>
    </w:p>
    <w:bookmarkStart w:id="71" w:name="page72"/>
    <w:bookmarkEnd w:id="71"/>
    <w:p>
      <w:pPr>
        <w:ind w:firstLine="631"/>
        <w:spacing w:after="0" w:line="252" w:lineRule="auto"/>
        <w:tabs>
          <w:tab w:leader="none" w:pos="113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 Subject to the Minimum Restrictions, Options and Stock Appreciation Rights shall be exercisable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whole or in such installments and at such times as determined by the Committee.</w:t>
      </w:r>
    </w:p>
    <w:p>
      <w:pPr>
        <w:spacing w:after="0" w:line="115" w:lineRule="exact"/>
        <w:rPr>
          <w:rFonts w:ascii="Times New Roman" w:cs="Times New Roman" w:eastAsia="Times New Roman" w:hAnsi="Times New Roman"/>
          <w:sz w:val="19"/>
          <w:szCs w:val="19"/>
          <w:color w:val="auto"/>
        </w:rPr>
      </w:pPr>
    </w:p>
    <w:p>
      <w:pPr>
        <w:jc w:val="both"/>
        <w:ind w:firstLine="631"/>
        <w:spacing w:after="0" w:line="215" w:lineRule="auto"/>
        <w:tabs>
          <w:tab w:leader="none" w:pos="103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Special Limitations on Incentive Stock Options</w:t>
      </w:r>
      <w:r>
        <w:rPr>
          <w:rFonts w:ascii="Times New Roman" w:cs="Times New Roman" w:eastAsia="Times New Roman" w:hAnsi="Times New Roman"/>
          <w:sz w:val="19"/>
          <w:szCs w:val="19"/>
          <w:color w:val="auto"/>
        </w:rPr>
        <w:t>. An Incentive Stock Option may be granted only to an individual who is employed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Company or any parent or subsidiary corporation (as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exceeds $100,000, such Incentive Stock Options shall be treated as Nonqualified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131" w:lineRule="exact"/>
        <w:rPr>
          <w:rFonts w:ascii="Times New Roman" w:cs="Times New Roman" w:eastAsia="Times New Roman" w:hAnsi="Times New Roman"/>
          <w:sz w:val="19"/>
          <w:szCs w:val="19"/>
          <w:color w:val="auto"/>
        </w:rPr>
      </w:pPr>
    </w:p>
    <w:p>
      <w:pPr>
        <w:jc w:val="both"/>
        <w:ind w:firstLine="631"/>
        <w:spacing w:after="0" w:line="213" w:lineRule="auto"/>
        <w:tabs>
          <w:tab w:leader="none" w:pos="1041"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Option Agreement; Stock Appreciation Right Agreement</w:t>
      </w:r>
      <w:r>
        <w:rPr>
          <w:rFonts w:ascii="Times New Roman" w:cs="Times New Roman" w:eastAsia="Times New Roman" w:hAnsi="Times New Roman"/>
          <w:sz w:val="19"/>
          <w:szCs w:val="19"/>
          <w:color w:val="auto"/>
        </w:rPr>
        <w:t>. Each Option shall be evidenced by an Option Agreement in such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containing such provisions not inconsistent with the provisions of the Plan as the Committee from time to time shall approve, including, without limitation, provisions to qualify an Option as an Incentive Stock Option under Section 422 of the Code. Each Stock Appreciation Right shall be evidenced by a Stock Appreciation Right Agreement. Each Option Agreement and Stock Appreciation Right Agreement may specify the effect of termination of (i) employment, (ii) the consulting or advisory relationship or (iii) membership on the Board, as applicable, or a Change in Control on the exercisability of the Option or Stock Appreciation Right. An Option Agreement may provide for the payment of the exercise price, in whole or in part, by the delivery of a number of shares of Common Stock (plus cash if necessary) having a Fair Market Value equal to such exercise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and Stock Appreciation Right Agreements need not be identical. Subject to the consent of the Participant, the Committee may, in its sole discretion, amend an outstanding Option Agreement and Stock Appreciation Right Agreement from time to time in any manner that is not inconsistent with the provisions of the Plan.</w:t>
      </w:r>
    </w:p>
    <w:p>
      <w:pPr>
        <w:spacing w:after="0" w:line="149" w:lineRule="exact"/>
        <w:rPr>
          <w:rFonts w:ascii="Times New Roman" w:cs="Times New Roman" w:eastAsia="Times New Roman" w:hAnsi="Times New Roman"/>
          <w:sz w:val="19"/>
          <w:szCs w:val="19"/>
          <w:color w:val="auto"/>
        </w:rPr>
      </w:pPr>
    </w:p>
    <w:p>
      <w:pPr>
        <w:jc w:val="both"/>
        <w:ind w:firstLine="631"/>
        <w:spacing w:after="0" w:line="220" w:lineRule="auto"/>
        <w:tabs>
          <w:tab w:leader="none" w:pos="108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Price and Payment</w:t>
      </w:r>
      <w:r>
        <w:rPr>
          <w:rFonts w:ascii="Times New Roman" w:cs="Times New Roman" w:eastAsia="Times New Roman" w:hAnsi="Times New Roman"/>
          <w:sz w:val="19"/>
          <w:szCs w:val="19"/>
          <w:color w:val="auto"/>
        </w:rPr>
        <w:t>. The exercise price shall be determined by the Committee but, subject to adjustment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XII, such exercise price shall not be less than the Fair Market Value of a share of Common Stock on the date an Option is granted. An Option, Stock Appreciation Right or portion thereof may be exercised by delivery of an irrevocable notice of exercise to the Company, as specified by the Committee. The exercise price shall be paid in full in the manner prescribed by the Committee. Separate stock certificates shall be issued by the Company for those shares acquired pursuant to the exercise of an Incentive Stock Option and for those shares acquired pursuant to the exercise of any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11240"/>
          </w:cols>
          <w:pgMar w:left="320" w:top="1355" w:right="339" w:bottom="1440" w:gutter="0" w:footer="0" w:header="0"/>
        </w:sectPr>
      </w:pPr>
    </w:p>
    <w:bookmarkStart w:id="72" w:name="page73"/>
    <w:bookmarkEnd w:id="72"/>
    <w:p>
      <w:pPr>
        <w:jc w:val="both"/>
        <w:ind w:firstLine="631"/>
        <w:spacing w:after="0" w:line="224" w:lineRule="auto"/>
        <w:tabs>
          <w:tab w:leader="none" w:pos="11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on Repricing of Options</w:t>
      </w:r>
      <w:r>
        <w:rPr>
          <w:rFonts w:ascii="Times New Roman" w:cs="Times New Roman" w:eastAsia="Times New Roman" w:hAnsi="Times New Roman"/>
          <w:sz w:val="19"/>
          <w:szCs w:val="19"/>
          <w:color w:val="auto"/>
        </w:rPr>
        <w:t>. Except as provided in Paragraph XII, the Committee may not, without approval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stockholders of the Company, lower the exercise price of an Option or Stock Appreciation Right after the date of grant nor may any outstanding Option or Stock Appreciation Right granted under the Plan be surrendered to the Company as consideration for the grant of a new Option with a lower exercise price, cash or a new Award. Any other action that is deemed to be a repricing under any applicable rule of the New York Stock Exchange shall be prohibited unless there is prior approval by the stockholders of the Company.</w:t>
      </w:r>
    </w:p>
    <w:p>
      <w:pPr>
        <w:spacing w:after="0" w:line="129" w:lineRule="exact"/>
        <w:rPr>
          <w:rFonts w:ascii="Times New Roman" w:cs="Times New Roman" w:eastAsia="Times New Roman" w:hAnsi="Times New Roman"/>
          <w:sz w:val="19"/>
          <w:szCs w:val="19"/>
          <w:color w:val="auto"/>
        </w:rPr>
      </w:pPr>
    </w:p>
    <w:p>
      <w:pPr>
        <w:ind w:firstLine="631"/>
        <w:spacing w:after="0" w:line="252" w:lineRule="auto"/>
        <w:tabs>
          <w:tab w:leader="none" w:pos="111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Stockholder Rights and Privileges</w:t>
      </w:r>
      <w:r>
        <w:rPr>
          <w:rFonts w:ascii="Times New Roman" w:cs="Times New Roman" w:eastAsia="Times New Roman" w:hAnsi="Times New Roman"/>
          <w:sz w:val="19"/>
          <w:szCs w:val="19"/>
          <w:color w:val="auto"/>
        </w:rPr>
        <w:t>. The Participant shall be entitled to all the privileges and rights of a stockholder only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to such shares of Common Stock delivered to the Participant after exercise of an Option.</w:t>
      </w:r>
    </w:p>
    <w:p>
      <w:pPr>
        <w:spacing w:after="0" w:line="115" w:lineRule="exact"/>
        <w:rPr>
          <w:rFonts w:ascii="Times New Roman" w:cs="Times New Roman" w:eastAsia="Times New Roman" w:hAnsi="Times New Roman"/>
          <w:sz w:val="19"/>
          <w:szCs w:val="19"/>
          <w:color w:val="auto"/>
        </w:rPr>
      </w:pPr>
    </w:p>
    <w:p>
      <w:pPr>
        <w:jc w:val="both"/>
        <w:ind w:firstLine="631"/>
        <w:spacing w:after="0" w:line="227" w:lineRule="auto"/>
        <w:tabs>
          <w:tab w:leader="none" w:pos="108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Options and Rights in Substitution for Options Granted by Other Employers</w:t>
      </w:r>
      <w:r>
        <w:rPr>
          <w:rFonts w:ascii="Times New Roman" w:cs="Times New Roman" w:eastAsia="Times New Roman" w:hAnsi="Times New Roman"/>
          <w:sz w:val="19"/>
          <w:szCs w:val="19"/>
          <w:color w:val="auto"/>
        </w:rPr>
        <w:t>. Options and Stock Appreciation Rights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under the Plan from time to time in substitution for options and such rights held by individuals providing services to corporations or other entities who become Employees, Consultants, or Directors as a result of a merger or consolidation or other business transaction with the Company or any Affiliate.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VIII. RESTRICTED STOCK AWARDS</w:t>
      </w:r>
    </w:p>
    <w:p>
      <w:pPr>
        <w:spacing w:after="0" w:line="173" w:lineRule="exact"/>
        <w:rPr>
          <w:sz w:val="20"/>
          <w:szCs w:val="20"/>
          <w:color w:val="auto"/>
        </w:rPr>
      </w:pPr>
    </w:p>
    <w:p>
      <w:pPr>
        <w:jc w:val="both"/>
        <w:ind w:firstLine="631"/>
        <w:spacing w:after="0" w:line="217" w:lineRule="auto"/>
        <w:tabs>
          <w:tab w:leader="none" w:pos="1104"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Forfeiture Restrictions to be Established by the Committee</w:t>
      </w:r>
      <w:r>
        <w:rPr>
          <w:rFonts w:ascii="Times New Roman" w:cs="Times New Roman" w:eastAsia="Times New Roman" w:hAnsi="Times New Roman"/>
          <w:sz w:val="19"/>
          <w:szCs w:val="19"/>
          <w:color w:val="auto"/>
        </w:rPr>
        <w:t>. Shares of Common Stock that are the subject of a Restricted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Award shall be subject the Minimum Restrictions and to other restrictions on disposition by the Participant and an obligation of the Participant to forfeit and surrender the shares to the Company under certain circumstances as determined by the Committee (the "</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The Forfeiture Restrictions shall be determined by the Committee in its sole discretion, and the Committee may provide that the Forfeiture Restrictions shall lapse upon (i) the attainment of one or more Performance Measures, (ii) the Participant's continued employment with the Company or its Affiliate or continued service as a Consultant or Director for a specified period of time, (iii) the occurrence of any event or the satisfaction of any other condition specified by the Committee in its sole discretion (including, without limitation, a Change in Control), or (iv) a combination of any of the foregoing. Each Restricted Stock Award may have different Forfeiture Restrictions, in the discretion of the Committee.</w:t>
      </w:r>
    </w:p>
    <w:p>
      <w:pPr>
        <w:spacing w:after="0" w:line="129" w:lineRule="exact"/>
        <w:rPr>
          <w:rFonts w:ascii="Times New Roman" w:cs="Times New Roman" w:eastAsia="Times New Roman" w:hAnsi="Times New Roman"/>
          <w:sz w:val="19"/>
          <w:szCs w:val="19"/>
          <w:color w:val="auto"/>
        </w:rPr>
      </w:pPr>
    </w:p>
    <w:p>
      <w:pPr>
        <w:jc w:val="both"/>
        <w:ind w:firstLine="631"/>
        <w:spacing w:after="0" w:line="215" w:lineRule="auto"/>
        <w:tabs>
          <w:tab w:leader="none" w:pos="112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Terms and Conditions</w:t>
      </w:r>
      <w:r>
        <w:rPr>
          <w:rFonts w:ascii="Times New Roman" w:cs="Times New Roman" w:eastAsia="Times New Roman" w:hAnsi="Times New Roman"/>
          <w:sz w:val="19"/>
          <w:szCs w:val="19"/>
          <w:color w:val="auto"/>
        </w:rPr>
        <w:t>. Unless provided otherwise in a Restricted Stock Agreement, the Participant shall have the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dividends with respect to Common Stock subject to a Restricted Stock Award, to vote Common Stock subject thereto, and to enjoy all other stockholder rights, except that (i) the Participant shall not be entitled to delivery of the stock certificate and dividends until the Forfeiture Restrictions have expired, (ii) the Company shall retain custody of the stock and any dividends until the Forfeiture Restrictions have expired, (iii) the Participant may not sell, transfer, pledge, exchange, hypothecate, or otherwise dispose of the stock until the Forfeiture Restrictions have expired, and (iv) a breach of the terms and conditions established by the Committee pursuant to the Restricted Stock Agreement shall cause a forfeiture of the Restricted Stock Award and any associated dividends. At the time of such Award, the Committee may, in its sole discretion, prescribe additional terms, conditions, or restrictions relating to Restricted Stock Awards, including, but not limited to, (i) rules pertaining to the termination of employment, or service as a Consultant or Director, of a Participant prior to expiration of the Forfeiture Restrictions, or (ii) if the Award is intended to be a Performance Award, providing that dividends are subject to the same Performance Measures as the underlying Award. If dividends are subject to the same Performance Measures of an Award intended to be a Performance Award, the Participant shall not be entitled to such dividends until the Performance Measures of the Award have been met and payment has been determined by the Committee. Such additional terms, conditions, or restrictions shall be set forth in a Restricted Stock Agreement made in conjunction with the Award.</w:t>
      </w:r>
    </w:p>
    <w:p>
      <w:pPr>
        <w:spacing w:after="0" w:line="144" w:lineRule="exact"/>
        <w:rPr>
          <w:rFonts w:ascii="Times New Roman" w:cs="Times New Roman" w:eastAsia="Times New Roman" w:hAnsi="Times New Roman"/>
          <w:sz w:val="19"/>
          <w:szCs w:val="19"/>
          <w:color w:val="auto"/>
        </w:rPr>
      </w:pPr>
    </w:p>
    <w:p>
      <w:pPr>
        <w:jc w:val="both"/>
        <w:ind w:firstLine="631"/>
        <w:spacing w:after="0" w:line="231" w:lineRule="auto"/>
        <w:tabs>
          <w:tab w:leader="none" w:pos="105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 for Restricted Stock</w:t>
      </w:r>
      <w:r>
        <w:rPr>
          <w:rFonts w:ascii="Times New Roman" w:cs="Times New Roman" w:eastAsia="Times New Roman" w:hAnsi="Times New Roman"/>
          <w:sz w:val="19"/>
          <w:szCs w:val="19"/>
          <w:color w:val="auto"/>
        </w:rPr>
        <w:t>. The Committee shall determine the amount and form of any payment for Common Stock received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B-8</w:t>
      </w:r>
    </w:p>
    <w:p>
      <w:pPr>
        <w:sectPr>
          <w:pgSz w:w="11900" w:h="16838" w:orient="portrait"/>
          <w:cols w:equalWidth="0" w:num="1">
            <w:col w:w="11240"/>
          </w:cols>
          <w:pgMar w:left="320" w:top="1355" w:right="339" w:bottom="1440" w:gutter="0" w:footer="0" w:header="0"/>
        </w:sectPr>
      </w:pPr>
    </w:p>
    <w:bookmarkStart w:id="73" w:name="page74"/>
    <w:bookmarkEnd w:id="73"/>
    <w:p>
      <w:pPr>
        <w:jc w:val="both"/>
        <w:ind w:firstLine="631"/>
        <w:spacing w:after="0" w:line="224" w:lineRule="auto"/>
        <w:tabs>
          <w:tab w:leader="none" w:pos="1141"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 Agreements</w:t>
      </w:r>
      <w:r>
        <w:rPr>
          <w:rFonts w:ascii="Times New Roman" w:cs="Times New Roman" w:eastAsia="Times New Roman" w:hAnsi="Times New Roman"/>
          <w:sz w:val="19"/>
          <w:szCs w:val="19"/>
          <w:color w:val="auto"/>
        </w:rPr>
        <w:t>. At the time any Award is made under this Paragraph VIII, the Company and the Participant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 into a Restricted Stock Agreement setting forth each of the matters contemplated hereby and such other matters as the Committee may determine to be appropriate. The terms and provisions of the respective Restricted Stock Agreements need not be identical. Subject to the consent of the Participant, the Committee may, in its sole discretion, amend an outstanding Restricted Stock Agreement from time to time in any manner that is not inconsistent with the provisions of the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IX. PERFORMANCE AWARDS</w:t>
      </w:r>
    </w:p>
    <w:p>
      <w:pPr>
        <w:spacing w:after="0" w:line="160" w:lineRule="exact"/>
        <w:rPr>
          <w:sz w:val="20"/>
          <w:szCs w:val="20"/>
          <w:color w:val="auto"/>
        </w:rPr>
      </w:pPr>
    </w:p>
    <w:p>
      <w:pPr>
        <w:jc w:val="both"/>
        <w:ind w:firstLine="631"/>
        <w:spacing w:after="0" w:line="235" w:lineRule="auto"/>
        <w:tabs>
          <w:tab w:leader="none" w:pos="114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Period</w:t>
      </w:r>
      <w:r>
        <w:rPr>
          <w:rFonts w:ascii="Times New Roman" w:cs="Times New Roman" w:eastAsia="Times New Roman" w:hAnsi="Times New Roman"/>
          <w:sz w:val="19"/>
          <w:szCs w:val="19"/>
          <w:color w:val="auto"/>
        </w:rPr>
        <w:t>. The Committee shall establish, with respect to and at the time of each Performance Award, the number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subject to, or the maximum value of, the Performance Award and the performance period over which the performance applicable to the Performance Award shall be measured.</w:t>
      </w:r>
    </w:p>
    <w:p>
      <w:pPr>
        <w:spacing w:after="0" w:line="128" w:lineRule="exact"/>
        <w:rPr>
          <w:rFonts w:ascii="Times New Roman" w:cs="Times New Roman" w:eastAsia="Times New Roman" w:hAnsi="Times New Roman"/>
          <w:sz w:val="19"/>
          <w:szCs w:val="19"/>
          <w:color w:val="auto"/>
        </w:rPr>
      </w:pPr>
    </w:p>
    <w:p>
      <w:pPr>
        <w:jc w:val="both"/>
        <w:ind w:firstLine="631"/>
        <w:spacing w:after="0" w:line="217" w:lineRule="auto"/>
        <w:tabs>
          <w:tab w:leader="none" w:pos="114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Awards</w:t>
      </w:r>
      <w:r>
        <w:rPr>
          <w:rFonts w:ascii="Times New Roman" w:cs="Times New Roman" w:eastAsia="Times New Roman" w:hAnsi="Times New Roman"/>
          <w:sz w:val="19"/>
          <w:szCs w:val="19"/>
          <w:color w:val="auto"/>
        </w:rPr>
        <w:t>. Performance Awards shall be paid, vested or otherwise deliverable, in whole or in part, on account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attainment of one or more Performance Measures that are contingent upon future performance of the Company, an individual, or any Affiliate, division, or department of the Company during the performance period. Prior to the payment of any compensation based on the achievement of Performance Measures applicable to Performance Awards, the Committee must certify that applicable Performance Measures and any of the material terms thereof were, in fact, satisfied. Subject to the Minimum Restrictions and the foregoing provisions, the terms, conditions and limitations applicable to any Performance Awards made pursuant to the Plan shall be determined by the Committee. The amount of cash or shares payable or vested pursuant to Awards that are intended to be Performance Awards may be adjusted by the Committee on a formula or discretionary basis, or any combination, as the Committee determines.</w:t>
      </w:r>
    </w:p>
    <w:p>
      <w:pPr>
        <w:spacing w:after="0" w:line="142" w:lineRule="exact"/>
        <w:rPr>
          <w:rFonts w:ascii="Times New Roman" w:cs="Times New Roman" w:eastAsia="Times New Roman" w:hAnsi="Times New Roman"/>
          <w:sz w:val="19"/>
          <w:szCs w:val="19"/>
          <w:color w:val="auto"/>
        </w:rPr>
      </w:pPr>
    </w:p>
    <w:p>
      <w:pPr>
        <w:jc w:val="both"/>
        <w:ind w:firstLine="631"/>
        <w:spacing w:after="0" w:line="217" w:lineRule="auto"/>
        <w:tabs>
          <w:tab w:leader="none" w:pos="110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w:t>
      </w:r>
      <w:r>
        <w:rPr>
          <w:rFonts w:ascii="Times New Roman" w:cs="Times New Roman" w:eastAsia="Times New Roman" w:hAnsi="Times New Roman"/>
          <w:sz w:val="19"/>
          <w:szCs w:val="19"/>
          <w:color w:val="auto"/>
        </w:rPr>
        <w:t>. Following the end of the performance period, the holder of a Performance Award shall be entitled to receive payment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amount not exceeding the number of shares of Common Stock subject to, or the maximum value of, the Performance Award, based on the achievement of the Performance Measures for such performance period, as determined and certified by the Committee. Payment of a Performance Award may be made in cash, Common Stock, or a combination thereof, as determined by the Committee. Payment shall be made in a lump sum or in installments as prescribed by the Committee. If a Performance Award covering shares of Common Stock is to be paid in cash, such payment shall be based on the Fair Market Value of the Common Stock on the payment date or such other date as may be specified by the Committee in the Performance Award Agreement. A Participant shall not be entitled to the privileges and rights of a stockholder with respect to a Performance Award covering shares of Common Stock until payment has been determined by the Committee and such shares have been delivered to the Participant.</w:t>
      </w:r>
    </w:p>
    <w:p>
      <w:pPr>
        <w:spacing w:after="0" w:line="127" w:lineRule="exact"/>
        <w:rPr>
          <w:rFonts w:ascii="Times New Roman" w:cs="Times New Roman" w:eastAsia="Times New Roman" w:hAnsi="Times New Roman"/>
          <w:sz w:val="19"/>
          <w:szCs w:val="19"/>
          <w:color w:val="auto"/>
        </w:rPr>
      </w:pPr>
    </w:p>
    <w:p>
      <w:pPr>
        <w:jc w:val="both"/>
        <w:ind w:firstLine="631"/>
        <w:spacing w:after="0" w:line="235" w:lineRule="auto"/>
        <w:tabs>
          <w:tab w:leader="none" w:pos="111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Award</w:t>
      </w:r>
      <w:r>
        <w:rPr>
          <w:rFonts w:ascii="Times New Roman" w:cs="Times New Roman" w:eastAsia="Times New Roman" w:hAnsi="Times New Roman"/>
          <w:sz w:val="19"/>
          <w:szCs w:val="19"/>
          <w:color w:val="auto"/>
        </w:rPr>
        <w:t>. A Performance Award shall terminate if the Participant does not remain continuously in the employ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its Affiliates or does not continue to perform services as a Consultant or a Director for the Company and its Affiliates at all times during the applicable performance period through the payment date, except as may be determined by the Committee.</w:t>
      </w:r>
    </w:p>
    <w:p>
      <w:pPr>
        <w:spacing w:after="0" w:line="128" w:lineRule="exact"/>
        <w:rPr>
          <w:rFonts w:ascii="Times New Roman" w:cs="Times New Roman" w:eastAsia="Times New Roman" w:hAnsi="Times New Roman"/>
          <w:sz w:val="19"/>
          <w:szCs w:val="19"/>
          <w:color w:val="auto"/>
        </w:rPr>
      </w:pPr>
    </w:p>
    <w:p>
      <w:pPr>
        <w:jc w:val="both"/>
        <w:ind w:firstLine="631"/>
        <w:spacing w:after="0" w:line="231" w:lineRule="auto"/>
        <w:tabs>
          <w:tab w:leader="none" w:pos="109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Award Agreements</w:t>
      </w:r>
      <w:r>
        <w:rPr>
          <w:rFonts w:ascii="Times New Roman" w:cs="Times New Roman" w:eastAsia="Times New Roman" w:hAnsi="Times New Roman"/>
          <w:sz w:val="19"/>
          <w:szCs w:val="19"/>
          <w:color w:val="auto"/>
        </w:rPr>
        <w:t>. At the time any Award is made under this Paragraph IX, the Company and the Participant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 into a Performance Award Agreement setting forth each of the matters contemplated hereby and such additional matters as the Committee may determine to be appropriate. The terms and provisions of Performance Award Agreements need not be identical.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 RESTRICTED STOCK UNIT AWARDS</w:t>
      </w:r>
    </w:p>
    <w:p>
      <w:pPr>
        <w:spacing w:after="0" w:line="160" w:lineRule="exact"/>
        <w:rPr>
          <w:sz w:val="20"/>
          <w:szCs w:val="20"/>
          <w:color w:val="auto"/>
        </w:rPr>
      </w:pPr>
    </w:p>
    <w:p>
      <w:pPr>
        <w:jc w:val="both"/>
        <w:ind w:firstLine="631"/>
        <w:spacing w:after="0" w:line="220" w:lineRule="auto"/>
        <w:tabs>
          <w:tab w:leader="none" w:pos="118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Forfeiture Restrictions to be Established by Committee</w:t>
      </w:r>
      <w:r>
        <w:rPr>
          <w:rFonts w:ascii="Times New Roman" w:cs="Times New Roman" w:eastAsia="Times New Roman" w:hAnsi="Times New Roman"/>
          <w:sz w:val="19"/>
          <w:szCs w:val="19"/>
          <w:color w:val="auto"/>
        </w:rPr>
        <w:t>. Awards of Restricted Stock Units shall be subject to the Minimum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Restrictions and to other restrictions and an obligation of the Participant to forfeit the Award under certain circumstances as determined by the Committee (the "</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The Forfeiture Restrictions shall be determined by the Committee in its sole discretion, and the Committee may provide that the Forfeiture Restrictions shall lapse upon (i) the attainment of one or more Performance Measures, (ii) the Participant's continued employment with the Company or its Affiliate or continued service as a Consultant or Director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ectPr>
          <w:pgSz w:w="11900" w:h="16838" w:orient="portrait"/>
          <w:cols w:equalWidth="0" w:num="1">
            <w:col w:w="11240"/>
          </w:cols>
          <w:pgMar w:left="320" w:top="1355" w:right="339" w:bottom="1440" w:gutter="0" w:footer="0" w:header="0"/>
        </w:sectPr>
      </w:pPr>
    </w:p>
    <w:bookmarkStart w:id="74" w:name="page75"/>
    <w:bookmarkEnd w:id="74"/>
    <w:p>
      <w:pPr>
        <w:jc w:val="both"/>
        <w:ind w:firstLine="4"/>
        <w:spacing w:after="0" w:line="230" w:lineRule="auto"/>
        <w:tabs>
          <w:tab w:leader="none" w:pos="35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event or the satisfaction of any other condition specified by the Committee in its sole discretion (including, without limitation, a Change in Control), or (iv) a combination of any of the foregoing. Each Restricted Stock Unit Award may have different Forfeiture Restrictions, in the discretion of the Committee.</w:t>
      </w:r>
    </w:p>
    <w:p>
      <w:pPr>
        <w:spacing w:after="0" w:line="140" w:lineRule="exact"/>
        <w:rPr>
          <w:rFonts w:ascii="Times New Roman" w:cs="Times New Roman" w:eastAsia="Times New Roman" w:hAnsi="Times New Roman"/>
          <w:sz w:val="19"/>
          <w:szCs w:val="19"/>
          <w:color w:val="auto"/>
        </w:rPr>
      </w:pPr>
    </w:p>
    <w:p>
      <w:pPr>
        <w:jc w:val="both"/>
        <w:ind w:firstLine="631"/>
        <w:spacing w:after="0" w:line="220" w:lineRule="auto"/>
        <w:tabs>
          <w:tab w:leader="none" w:pos="118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Terms and Conditions</w:t>
      </w:r>
      <w:r>
        <w:rPr>
          <w:rFonts w:ascii="Times New Roman" w:cs="Times New Roman" w:eastAsia="Times New Roman" w:hAnsi="Times New Roman"/>
          <w:sz w:val="19"/>
          <w:szCs w:val="19"/>
          <w:color w:val="auto"/>
        </w:rPr>
        <w:t>. The Committee may, in its sole discretion, prescribe additional terms, conditions or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relating to the Restricted Stock Unit Award, including, but not limited to, rules pertaining to the termination of the Participant's service prior to expiration of the Forfeiture Restrictions, as shall be set forth in the Restricted Stock Unit Award Agreement and as are consistent with the terms of the Plan. Cash dividend equivalents may be paid after the vesting period with respect to a Restricted Stock Unit Award and, with respect to Awards intended to be Performance Awards, may be subject to the same Performance Goals as the underlying Award, as determined by the Committee. The Committee, in its sole discretion, may provide for the deferral of a Restricted Stock Unit Award.</w:t>
      </w:r>
    </w:p>
    <w:p>
      <w:pPr>
        <w:spacing w:after="0" w:line="129" w:lineRule="exact"/>
        <w:rPr>
          <w:rFonts w:ascii="Times New Roman" w:cs="Times New Roman" w:eastAsia="Times New Roman" w:hAnsi="Times New Roman"/>
          <w:sz w:val="19"/>
          <w:szCs w:val="19"/>
          <w:color w:val="auto"/>
        </w:rPr>
      </w:pPr>
    </w:p>
    <w:p>
      <w:pPr>
        <w:jc w:val="both"/>
        <w:ind w:firstLine="631"/>
        <w:spacing w:after="0" w:line="219" w:lineRule="auto"/>
        <w:tabs>
          <w:tab w:leader="none" w:pos="1195"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w:t>
      </w:r>
      <w:r>
        <w:rPr>
          <w:rFonts w:ascii="Times New Roman" w:cs="Times New Roman" w:eastAsia="Times New Roman" w:hAnsi="Times New Roman"/>
          <w:sz w:val="19"/>
          <w:szCs w:val="19"/>
          <w:color w:val="auto"/>
        </w:rPr>
        <w:t>. Following the end of the vesting period for a Restricted Stock Unit Award (or at such other time as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Restricted Stock Unit Award Agreement may provide), the holder of a Restricted Stock Unit Award shall be entitled to receive payment of an amount, not exceeding the maximum value of the Restricted Stock Unit Award, based on the then vested value of the Award. Payment of a Restricted Stock Unit Award may be made in cash, Common Stock, or a combination thereof as determined by the Committee. Payment shall be made in a lump sum or in installments as prescribed by the Committee. Any payment to be made in cash shall be based on the Fair Market Value of the Common Stock on the payment date or such other date as may be specified by the Committee in the Restricted Stock Unit Award Agreement. A Participant shall not be entitled to the privileges and rights of a stockholder with respect to a Restricted Stock Unit Award until the shares of Common Stock have been delivered to the Participant.</w:t>
      </w:r>
    </w:p>
    <w:p>
      <w:pPr>
        <w:spacing w:after="0" w:line="128" w:lineRule="exact"/>
        <w:rPr>
          <w:rFonts w:ascii="Times New Roman" w:cs="Times New Roman" w:eastAsia="Times New Roman" w:hAnsi="Times New Roman"/>
          <w:sz w:val="19"/>
          <w:szCs w:val="19"/>
          <w:color w:val="auto"/>
        </w:rPr>
      </w:pPr>
    </w:p>
    <w:p>
      <w:pPr>
        <w:jc w:val="both"/>
        <w:ind w:firstLine="631"/>
        <w:spacing w:after="0" w:line="231" w:lineRule="auto"/>
        <w:tabs>
          <w:tab w:leader="none" w:pos="1206"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Award</w:t>
      </w:r>
      <w:r>
        <w:rPr>
          <w:rFonts w:ascii="Times New Roman" w:cs="Times New Roman" w:eastAsia="Times New Roman" w:hAnsi="Times New Roman"/>
          <w:sz w:val="19"/>
          <w:szCs w:val="19"/>
          <w:color w:val="auto"/>
        </w:rPr>
        <w:t>. A Restricted Stock Unit Award shall terminate if the Participant does not remain continuously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139" w:lineRule="exact"/>
        <w:rPr>
          <w:rFonts w:ascii="Times New Roman" w:cs="Times New Roman" w:eastAsia="Times New Roman" w:hAnsi="Times New Roman"/>
          <w:sz w:val="19"/>
          <w:szCs w:val="19"/>
          <w:color w:val="auto"/>
        </w:rPr>
      </w:pPr>
    </w:p>
    <w:p>
      <w:pPr>
        <w:jc w:val="both"/>
        <w:ind w:firstLine="631"/>
        <w:spacing w:after="0" w:line="227" w:lineRule="auto"/>
        <w:tabs>
          <w:tab w:leader="none" w:pos="1235"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 Unit Award Agreements</w:t>
      </w:r>
      <w:r>
        <w:rPr>
          <w:rFonts w:ascii="Times New Roman" w:cs="Times New Roman" w:eastAsia="Times New Roman" w:hAnsi="Times New Roman"/>
          <w:sz w:val="19"/>
          <w:szCs w:val="19"/>
          <w:color w:val="auto"/>
        </w:rPr>
        <w:t>. At the time any Award is made under this Paragraph X, the Company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 BONUS STOCK AWARDS</w:t>
      </w:r>
    </w:p>
    <w:p>
      <w:pPr>
        <w:spacing w:after="0" w:line="162" w:lineRule="exact"/>
        <w:rPr>
          <w:sz w:val="20"/>
          <w:szCs w:val="20"/>
          <w:color w:val="auto"/>
        </w:rPr>
      </w:pPr>
    </w:p>
    <w:p>
      <w:pPr>
        <w:ind w:firstLine="627"/>
        <w:spacing w:after="0" w:line="227" w:lineRule="auto"/>
        <w:rPr>
          <w:sz w:val="20"/>
          <w:szCs w:val="20"/>
          <w:color w:val="auto"/>
        </w:rPr>
      </w:pPr>
      <w:r>
        <w:rPr>
          <w:rFonts w:ascii="Times New Roman" w:cs="Times New Roman" w:eastAsia="Times New Roman" w:hAnsi="Times New Roman"/>
          <w:sz w:val="19"/>
          <w:szCs w:val="19"/>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w:t>
      </w:r>
    </w:p>
    <w:p>
      <w:pPr>
        <w:spacing w:after="0" w:line="225" w:lineRule="auto"/>
        <w:rPr>
          <w:sz w:val="20"/>
          <w:szCs w:val="20"/>
          <w:color w:val="auto"/>
        </w:rPr>
      </w:pPr>
      <w:r>
        <w:rPr>
          <w:rFonts w:ascii="Times New Roman" w:cs="Times New Roman" w:eastAsia="Times New Roman" w:hAnsi="Times New Roman"/>
          <w:sz w:val="19"/>
          <w:szCs w:val="19"/>
          <w:color w:val="auto"/>
        </w:rPr>
        <w:t>performance criteria or objectives or to forfeiture. The purchase price, if any, for shares of Common Stock issued in connection with a Bonus Stock Award shall be determined by the Committee in its sole discretion.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XII. RECAPITALIZATION OR REORGANIZATION</w:t>
      </w:r>
    </w:p>
    <w:p>
      <w:pPr>
        <w:spacing w:after="0" w:line="160" w:lineRule="exact"/>
        <w:rPr>
          <w:sz w:val="20"/>
          <w:szCs w:val="20"/>
          <w:color w:val="auto"/>
        </w:rPr>
      </w:pPr>
    </w:p>
    <w:p>
      <w:pPr>
        <w:jc w:val="both"/>
        <w:ind w:firstLine="631"/>
        <w:spacing w:after="0" w:line="224" w:lineRule="auto"/>
        <w:tabs>
          <w:tab w:leader="none" w:pos="110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Effect on Right or Power</w:t>
      </w:r>
      <w:r>
        <w:rPr>
          <w:rFonts w:ascii="Times New Roman" w:cs="Times New Roman" w:eastAsia="Times New Roman" w:hAnsi="Times New Roman"/>
          <w:sz w:val="19"/>
          <w:szCs w:val="19"/>
          <w:color w:val="auto"/>
        </w:rPr>
        <w:t>. The existence of the Plan and the Awards granted hereunder shall not affect in any way the right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 of the Board or the stockholders of the Company to make or authorize any adjustment, recapitalization, reorganization, or other change in the Company's or any Affiliate's capital structure or its business, any merger or consolidation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129" w:lineRule="exact"/>
        <w:rPr>
          <w:rFonts w:ascii="Times New Roman" w:cs="Times New Roman" w:eastAsia="Times New Roman" w:hAnsi="Times New Roman"/>
          <w:sz w:val="19"/>
          <w:szCs w:val="19"/>
          <w:color w:val="auto"/>
        </w:rPr>
      </w:pPr>
    </w:p>
    <w:p>
      <w:pPr>
        <w:jc w:val="both"/>
        <w:ind w:firstLine="631"/>
        <w:spacing w:after="0" w:line="231" w:lineRule="auto"/>
        <w:tabs>
          <w:tab w:leader="none" w:pos="110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Subdivision or Consolidation of Shares; Stock Dividends</w:t>
      </w:r>
      <w:r>
        <w:rPr>
          <w:rFonts w:ascii="Times New Roman" w:cs="Times New Roman" w:eastAsia="Times New Roman" w:hAnsi="Times New Roman"/>
          <w:sz w:val="19"/>
          <w:szCs w:val="19"/>
          <w:color w:val="auto"/>
        </w:rPr>
        <w:t>. The shares with respect to which Awards may be granted are shares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 Stock as presently constituted, but if, and whenever, prior to the expiration of an Award theretofore granted, the Company shall effect a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B-10</w:t>
      </w:r>
    </w:p>
    <w:p>
      <w:pPr>
        <w:sectPr>
          <w:pgSz w:w="11900" w:h="16838" w:orient="portrait"/>
          <w:cols w:equalWidth="0" w:num="1">
            <w:col w:w="11240"/>
          </w:cols>
          <w:pgMar w:left="320" w:top="135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color w:val="auto"/>
        </w:rPr>
        <w:t>or consolidation of shares of Common Stock or the payment of a stock dividend on Common Stock, the number of shares of Common Stock with</w:t>
      </w:r>
    </w:p>
    <w:p>
      <w:pPr>
        <w:spacing w:after="0" w:line="207" w:lineRule="auto"/>
        <w:rPr>
          <w:sz w:val="20"/>
          <w:szCs w:val="20"/>
          <w:color w:val="auto"/>
        </w:rPr>
      </w:pPr>
      <w:r>
        <w:rPr>
          <w:rFonts w:ascii="Times New Roman" w:cs="Times New Roman" w:eastAsia="Times New Roman" w:hAnsi="Times New Roman"/>
          <w:sz w:val="19"/>
          <w:szCs w:val="19"/>
          <w:color w:val="auto"/>
        </w:rPr>
        <w:t>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the number of outstanding shares, shall be proportionately reduced, and the purchase price per share shall be proportionately increased. Any fractional share resulting from such adjustment shall be rounded up to the next whole share.</w:t>
      </w:r>
    </w:p>
    <w:p>
      <w:pPr>
        <w:spacing w:after="0" w:line="126" w:lineRule="exact"/>
        <w:rPr>
          <w:sz w:val="20"/>
          <w:szCs w:val="20"/>
          <w:color w:val="auto"/>
        </w:rPr>
      </w:pPr>
    </w:p>
    <w:p>
      <w:pPr>
        <w:jc w:val="both"/>
        <w:ind w:firstLine="631"/>
        <w:spacing w:after="0" w:line="212" w:lineRule="auto"/>
        <w:tabs>
          <w:tab w:leader="none" w:pos="115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Recapitalizations and Corporate Changes</w:t>
      </w:r>
      <w:r>
        <w:rPr>
          <w:rFonts w:ascii="Times New Roman" w:cs="Times New Roman" w:eastAsia="Times New Roman" w:hAnsi="Times New Roman"/>
          <w:sz w:val="19"/>
          <w:szCs w:val="19"/>
          <w:color w:val="auto"/>
        </w:rPr>
        <w:t>. If the Company recapitalizes, reclassifies its capital stock, or otherwise changes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capital structure (a "</w:t>
      </w:r>
      <w:r>
        <w:rPr>
          <w:rFonts w:ascii="Times New Roman" w:cs="Times New Roman" w:eastAsia="Times New Roman" w:hAnsi="Times New Roman"/>
          <w:sz w:val="19"/>
          <w:szCs w:val="19"/>
          <w:b w:val="1"/>
          <w:bCs w:val="1"/>
          <w:i w:val="1"/>
          <w:iCs w:val="1"/>
          <w:color w:val="auto"/>
        </w:rPr>
        <w:t>recapitalization"</w:t>
      </w:r>
      <w:r>
        <w:rPr>
          <w:rFonts w:ascii="Times New Roman" w:cs="Times New Roman" w:eastAsia="Times New Roman" w:hAnsi="Times New Roman"/>
          <w:sz w:val="19"/>
          <w:szCs w:val="19"/>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merger, consolidation or reorganization (or survives only as a subsidiary of an entity), (ii) the Company sells, leases, or exchanges or agrees to sell, lease, or exchange all or substantially all of its assets to any other person or entity, (iii) the Company is to be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the persons who were Directors of the Company before such election shall cease to constitute a majority of the Board (each such event is referred to herein as a "</w:t>
      </w:r>
      <w:r>
        <w:rPr>
          <w:rFonts w:ascii="Times New Roman" w:cs="Times New Roman" w:eastAsia="Times New Roman" w:hAnsi="Times New Roman"/>
          <w:sz w:val="19"/>
          <w:szCs w:val="19"/>
          <w:b w:val="1"/>
          <w:bCs w:val="1"/>
          <w:i w:val="1"/>
          <w:iCs w:val="1"/>
          <w:color w:val="auto"/>
        </w:rPr>
        <w:t>Corporate Change"</w:t>
      </w:r>
      <w:r>
        <w:rPr>
          <w:rFonts w:ascii="Times New Roman" w:cs="Times New Roman" w:eastAsia="Times New Roman" w:hAnsi="Times New Roman"/>
          <w:sz w:val="19"/>
          <w:szCs w:val="19"/>
          <w:color w:val="auto"/>
        </w:rPr>
        <w:t>), no later than (x) 10 days after the approval by the stockholders of the Company of such merger, consolidation,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Options or Stock Appreciation Rights held by any individual Participant: (1)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(2) require the mandatory surrender to the Company by all or selected Participants of some or all of the outstanding Options or Stock Appreciation Rights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Times New Roman" w:cs="Times New Roman" w:eastAsia="Times New Roman" w:hAnsi="Times New Roman"/>
          <w:sz w:val="19"/>
          <w:szCs w:val="19"/>
          <w:b w:val="1"/>
          <w:bCs w:val="1"/>
          <w:i w:val="1"/>
          <w:iCs w:val="1"/>
          <w:color w:val="auto"/>
        </w:rPr>
        <w:t>Change in Control Value"</w:t>
      </w:r>
      <w:r>
        <w:rPr>
          <w:rFonts w:ascii="Times New Roman" w:cs="Times New Roman" w:eastAsia="Times New Roman" w:hAnsi="Times New Roman"/>
          <w:sz w:val="19"/>
          <w:szCs w:val="19"/>
          <w:color w:val="auto"/>
        </w:rPr>
        <w:t>) of the shares subject to such Awards over the exercise price(s) under such Awards for such shares, or (3) make such adjustments to Options or Stock Appreciation Rights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134" w:lineRule="exact"/>
        <w:rPr>
          <w:rFonts w:ascii="Times New Roman" w:cs="Times New Roman" w:eastAsia="Times New Roman" w:hAnsi="Times New Roman"/>
          <w:sz w:val="19"/>
          <w:szCs w:val="19"/>
          <w:color w:val="auto"/>
        </w:rPr>
      </w:pPr>
    </w:p>
    <w:p>
      <w:pPr>
        <w:jc w:val="both"/>
        <w:ind w:firstLine="631"/>
        <w:spacing w:after="0" w:line="223" w:lineRule="auto"/>
        <w:tabs>
          <w:tab w:leader="none" w:pos="114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Change in Control Value</w:t>
      </w:r>
      <w:r>
        <w:rPr>
          <w:rFonts w:ascii="Times New Roman" w:cs="Times New Roman" w:eastAsia="Times New Roman" w:hAnsi="Times New Roman"/>
          <w:sz w:val="19"/>
          <w:szCs w:val="19"/>
          <w:color w:val="auto"/>
        </w:rPr>
        <w:t>. For the purposes of clause (2) in Subparagraph (c) above, the "</w:t>
      </w:r>
      <w:r>
        <w:rPr>
          <w:rFonts w:ascii="Times New Roman" w:cs="Times New Roman" w:eastAsia="Times New Roman" w:hAnsi="Times New Roman"/>
          <w:sz w:val="19"/>
          <w:szCs w:val="19"/>
          <w:b w:val="1"/>
          <w:bCs w:val="1"/>
          <w:i w:val="1"/>
          <w:iCs w:val="1"/>
          <w:color w:val="auto"/>
        </w:rPr>
        <w:t>Change in Control Value"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equal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amount determined in the following clause (i), (ii) or (iii), whichever is applicable: (i) the per share price offered to stockholders of the Company in any such merger, consolidation, reorganization, sale of assets or dissolution and liquidation transaction, (ii) the price per share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as determined by the Committee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ectPr>
          <w:pgSz w:w="11900" w:h="16838" w:orient="portrait"/>
          <w:cols w:equalWidth="0" w:num="1">
            <w:col w:w="11240"/>
          </w:cols>
          <w:pgMar w:left="320" w:top="135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color w:val="auto"/>
        </w:rPr>
        <w:t>determined by the Committee to be the date of cancellation and surrender of such Awards. In the event that the consideration offered to</w:t>
      </w:r>
    </w:p>
    <w:p>
      <w:pPr>
        <w:spacing w:after="0" w:line="225" w:lineRule="auto"/>
        <w:rPr>
          <w:sz w:val="20"/>
          <w:szCs w:val="20"/>
          <w:color w:val="auto"/>
        </w:rPr>
      </w:pPr>
      <w:r>
        <w:rPr>
          <w:rFonts w:ascii="Times New Roman" w:cs="Times New Roman" w:eastAsia="Times New Roman" w:hAnsi="Times New Roman"/>
          <w:sz w:val="19"/>
          <w:szCs w:val="19"/>
          <w:color w:val="auto"/>
        </w:rPr>
        <w:t>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141" w:lineRule="exact"/>
        <w:rPr>
          <w:sz w:val="20"/>
          <w:szCs w:val="20"/>
          <w:color w:val="auto"/>
        </w:rPr>
      </w:pPr>
    </w:p>
    <w:p>
      <w:pPr>
        <w:jc w:val="both"/>
        <w:ind w:firstLine="631"/>
        <w:spacing w:after="0" w:line="237" w:lineRule="auto"/>
        <w:tabs>
          <w:tab w:leader="none" w:pos="1117"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Changes in the Common Stock</w:t>
      </w:r>
      <w:r>
        <w:rPr>
          <w:rFonts w:ascii="Times New Roman" w:cs="Times New Roman" w:eastAsia="Times New Roman" w:hAnsi="Times New Roman"/>
          <w:sz w:val="19"/>
          <w:szCs w:val="19"/>
          <w:color w:val="auto"/>
        </w:rPr>
        <w:t>. In the event of changes in the outstanding Common Stock by reason of recapitalizations,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XII, such Award and any agreement evidencing such Award shall be subject to adjustment by the Committee at its sole discretion as to the number and price of shares of Common Stock or other consideration subject to such Award in an equitable and appropriate manner to prevent dilution or enlargement of the benefits or potential benefits intended to be made available under such Award. In the event of any such change in the outstanding Common Stock or distribution to the holders of Common Stock, or upon the occurrence of any other event described in this Paragraph XII, the aggregate maximum number of shares available under the Plan, the aggregate maximum number of shares that may be issued under the Plan through Incentive Stock Options, and the maximum number of shares that may be subject to Awards granted to any one individual shall be appropriately adjusted to the extent, if any, determined by the Committee, whose determination shall be conclusive.</w:t>
      </w:r>
    </w:p>
    <w:p>
      <w:pPr>
        <w:spacing w:after="0" w:line="139" w:lineRule="exact"/>
        <w:rPr>
          <w:rFonts w:ascii="Times New Roman" w:cs="Times New Roman" w:eastAsia="Times New Roman" w:hAnsi="Times New Roman"/>
          <w:sz w:val="19"/>
          <w:szCs w:val="19"/>
          <w:color w:val="auto"/>
        </w:rPr>
      </w:pPr>
    </w:p>
    <w:p>
      <w:pPr>
        <w:ind w:left="1060" w:hanging="429"/>
        <w:spacing w:after="0"/>
        <w:tabs>
          <w:tab w:leader="none" w:pos="10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Stockholder Action</w:t>
      </w:r>
      <w:r>
        <w:rPr>
          <w:rFonts w:ascii="Times New Roman" w:cs="Times New Roman" w:eastAsia="Times New Roman" w:hAnsi="Times New Roman"/>
          <w:sz w:val="19"/>
          <w:szCs w:val="19"/>
          <w:color w:val="auto"/>
        </w:rPr>
        <w:t>. Any adjustment provided for in the above Subparagraphs shall be subject to any required stockholder action.</w:t>
      </w:r>
    </w:p>
    <w:p>
      <w:pPr>
        <w:spacing w:after="0" w:line="160" w:lineRule="exact"/>
        <w:rPr>
          <w:rFonts w:ascii="Times New Roman" w:cs="Times New Roman" w:eastAsia="Times New Roman" w:hAnsi="Times New Roman"/>
          <w:sz w:val="19"/>
          <w:szCs w:val="19"/>
          <w:color w:val="auto"/>
        </w:rPr>
      </w:pPr>
    </w:p>
    <w:p>
      <w:pPr>
        <w:jc w:val="both"/>
        <w:ind w:firstLine="631"/>
        <w:spacing w:after="0" w:line="221" w:lineRule="auto"/>
        <w:tabs>
          <w:tab w:leader="none" w:pos="111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Adjustments Unless Otherwise Provided</w:t>
      </w:r>
      <w:r>
        <w:rPr>
          <w:rFonts w:ascii="Times New Roman" w:cs="Times New Roman" w:eastAsia="Times New Roman" w:hAnsi="Times New Roman"/>
          <w:sz w:val="19"/>
          <w:szCs w:val="19"/>
          <w:color w:val="auto"/>
        </w:rPr>
        <w:t>. Except as hereinbefore expressly provided, the issuance by the Company of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142" w:lineRule="exact"/>
        <w:rPr>
          <w:rFonts w:ascii="Times New Roman" w:cs="Times New Roman" w:eastAsia="Times New Roman" w:hAnsi="Times New Roman"/>
          <w:sz w:val="19"/>
          <w:szCs w:val="19"/>
          <w:color w:val="auto"/>
        </w:rPr>
      </w:pPr>
    </w:p>
    <w:p>
      <w:pPr>
        <w:ind w:firstLine="631"/>
        <w:spacing w:after="0" w:line="239" w:lineRule="auto"/>
        <w:tabs>
          <w:tab w:leader="none" w:pos="1154"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Adjustments in Compliance with Section 409A of the Code.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adjustment pursuant to this Paragraph XII shall be made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manner that results in noncompliance with the requirements of Section 409A of the Code, to the extent applicable.</w:t>
      </w:r>
    </w:p>
    <w:p>
      <w:pPr>
        <w:spacing w:after="0" w:line="1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XIII. TERMINATION ON OR AFTER CHANGE IN CONTROL</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terms of an Award shall not provide for accelerated vesting solely due to the occurrence of a Change in Control. If a Change in</w:t>
      </w:r>
    </w:p>
    <w:p>
      <w:pPr>
        <w:spacing w:after="0" w:line="207" w:lineRule="auto"/>
        <w:rPr>
          <w:sz w:val="20"/>
          <w:szCs w:val="20"/>
          <w:color w:val="auto"/>
        </w:rPr>
      </w:pPr>
      <w:r>
        <w:rPr>
          <w:rFonts w:ascii="Times New Roman" w:cs="Times New Roman" w:eastAsia="Times New Roman" w:hAnsi="Times New Roman"/>
          <w:sz w:val="19"/>
          <w:szCs w:val="19"/>
          <w:color w:val="auto"/>
        </w:rPr>
        <w:t>Control occurs and, on or within two years after the date of consummation of such Change in Control, a Participant's employment with the Company and its Affiliates is terminated involuntarily by the Company without Cause or by the Participant for Good Reason, then (a) any Award</w:t>
      </w:r>
    </w:p>
    <w:p>
      <w:pPr>
        <w:spacing w:after="0" w:line="216" w:lineRule="auto"/>
        <w:rPr>
          <w:sz w:val="20"/>
          <w:szCs w:val="20"/>
          <w:color w:val="auto"/>
        </w:rPr>
      </w:pPr>
      <w:r>
        <w:rPr>
          <w:rFonts w:ascii="Times New Roman" w:cs="Times New Roman" w:eastAsia="Times New Roman" w:hAnsi="Times New Roman"/>
          <w:sz w:val="19"/>
          <w:szCs w:val="19"/>
          <w:color w:val="auto"/>
        </w:rPr>
        <w:t>other than Performance Awards held by the Participant at the time of the Participant's termination shall become fully vested and exercisable and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all Forfeiture Restrictions shall immediately lapse and (b) any Performance Award held by the Participant at the time of the Participant's termination shall become fully vested and all Forfeiture Restrictions shall immediately lapse and such Performance Award shall be deemed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have been earned at the target level.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XIV. AMENDMENT AND TERMINATION OF THE PLAN</w:t>
      </w:r>
    </w:p>
    <w:p>
      <w:pPr>
        <w:spacing w:after="0" w:line="175" w:lineRule="exact"/>
        <w:rPr>
          <w:sz w:val="20"/>
          <w:szCs w:val="20"/>
          <w:color w:val="auto"/>
        </w:rPr>
      </w:pPr>
    </w:p>
    <w:p>
      <w:pPr>
        <w:ind w:firstLine="627"/>
        <w:spacing w:after="0" w:line="220" w:lineRule="auto"/>
        <w:rPr>
          <w:sz w:val="20"/>
          <w:szCs w:val="20"/>
          <w:color w:val="auto"/>
        </w:rPr>
      </w:pPr>
      <w:r>
        <w:rPr>
          <w:rFonts w:ascii="Times New Roman" w:cs="Times New Roman" w:eastAsia="Times New Roman" w:hAnsi="Times New Roman"/>
          <w:sz w:val="19"/>
          <w:szCs w:val="19"/>
          <w:color w:val="auto"/>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w:t>
      </w:r>
    </w:p>
    <w:p>
      <w:pPr>
        <w:spacing w:after="0" w:line="215" w:lineRule="auto"/>
        <w:rPr>
          <w:sz w:val="20"/>
          <w:szCs w:val="20"/>
          <w:color w:val="auto"/>
        </w:rPr>
      </w:pPr>
      <w:r>
        <w:rPr>
          <w:rFonts w:ascii="Times New Roman" w:cs="Times New Roman" w:eastAsia="Times New Roman" w:hAnsi="Times New Roman"/>
          <w:sz w:val="19"/>
          <w:szCs w:val="19"/>
          <w:color w:val="auto"/>
        </w:rPr>
        <w:t>in the Plan may be made that would materially impair the rights of a Participant with respect to an Award theretofore granted without the consent</w:t>
      </w:r>
    </w:p>
    <w:p>
      <w:pPr>
        <w:spacing w:after="0" w:line="207" w:lineRule="auto"/>
        <w:rPr>
          <w:sz w:val="20"/>
          <w:szCs w:val="20"/>
          <w:color w:val="auto"/>
        </w:rPr>
      </w:pPr>
      <w:r>
        <w:rPr>
          <w:rFonts w:ascii="Times New Roman" w:cs="Times New Roman" w:eastAsia="Times New Roman" w:hAnsi="Times New Roman"/>
          <w:sz w:val="19"/>
          <w:szCs w:val="19"/>
          <w:color w:val="auto"/>
        </w:rPr>
        <w:t>of the Participant, and provided, further, that the Board may not, without approval of the stockholders of the Company, (a) amend the Plan to increase the aggregate maximum number of shares that may be issued under the Plan, increase the aggregate maximum number of shares that may</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be issued under the Plan through Incentive Stock Options, or change the class of individuals eligible to receive Awards under the Plan, or (b) amend or delete Paragraph VII(f).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11240"/>
          </w:cols>
          <w:pgMar w:left="320" w:top="1356" w:right="339" w:bottom="1440" w:gutter="0" w:footer="0" w:header="0"/>
        </w:sectPr>
      </w:pPr>
    </w:p>
    <w:bookmarkStart w:id="77" w:name="page78"/>
    <w:bookmarkEnd w:id="77"/>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XV. SPECIAL PROVISIONS RELATED TO SECTION 409A OF THE CODE</w:t>
      </w:r>
    </w:p>
    <w:p>
      <w:pPr>
        <w:spacing w:after="0" w:line="160" w:lineRule="exact"/>
        <w:rPr>
          <w:sz w:val="20"/>
          <w:szCs w:val="20"/>
          <w:color w:val="auto"/>
        </w:rPr>
      </w:pPr>
    </w:p>
    <w:p>
      <w:pPr>
        <w:jc w:val="both"/>
        <w:ind w:firstLine="631"/>
        <w:spacing w:after="0" w:line="224" w:lineRule="auto"/>
        <w:tabs>
          <w:tab w:leader="none" w:pos="115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Intent and Interpretation</w:t>
      </w:r>
      <w:r>
        <w:rPr>
          <w:rFonts w:ascii="Times New Roman" w:cs="Times New Roman" w:eastAsia="Times New Roman" w:hAnsi="Times New Roman"/>
          <w:sz w:val="19"/>
          <w:szCs w:val="19"/>
          <w:color w:val="auto"/>
        </w:rPr>
        <w:t>. It is intended that the payments and benefits provided under the Plan and any Award shall either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exempt from the application of, or comply with, the requirements of Section 409A of the Code. The Plan and all Award agreements shall be construed in a manner that effects such intent. Nevertheless, the tax treatment of the benefits provided under the Plan or any Award is not warranted or guaranteed. Neither the Company, its Affiliates nor their respective directors, officers, employees or advisers shall be held liable for any taxes, interest, penalties or other monetary amounts owed by any Participant or other taxpayer as a result of the Plan or any Award.</w:t>
      </w:r>
    </w:p>
    <w:p>
      <w:pPr>
        <w:spacing w:after="0" w:line="129" w:lineRule="exact"/>
        <w:rPr>
          <w:rFonts w:ascii="Times New Roman" w:cs="Times New Roman" w:eastAsia="Times New Roman" w:hAnsi="Times New Roman"/>
          <w:sz w:val="19"/>
          <w:szCs w:val="19"/>
          <w:color w:val="auto"/>
        </w:rPr>
      </w:pPr>
    </w:p>
    <w:p>
      <w:pPr>
        <w:jc w:val="both"/>
        <w:ind w:firstLine="631"/>
        <w:spacing w:after="0" w:line="215" w:lineRule="auto"/>
        <w:tabs>
          <w:tab w:leader="none" w:pos="116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Permissible Payments</w:t>
      </w:r>
      <w:r>
        <w:rPr>
          <w:rFonts w:ascii="Times New Roman" w:cs="Times New Roman" w:eastAsia="Times New Roman" w:hAnsi="Times New Roman"/>
          <w:sz w:val="19"/>
          <w:szCs w:val="19"/>
          <w:color w:val="auto"/>
        </w:rPr>
        <w:t>. Notwithstanding anything in the Plan or in any Award agreement to the contrary, to the extent that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 or benefit that would constitute non-exempt "deferred compensation" for purposes of Section 409A of the Code would otherwise be payable or distributable, or a different form of payment (e.g., lump sum or installment) would be effected, under the Plan or any Award agreement by reason of the occurrence of a Corporate Change or Change in Control or the Participant's separation from service, such amount or benefit will not be payable or distributable to the Participant, and/or such different form of payment will not be effected, by reason of such circumstance unless the circumstances giving rise to such Corporate Change or Change in Control or separation from service meet any description or definition of "change in control event" or "separation from service", as the case may be, in Section 409A of the Code and applicable regulations (without giving effect to any elective provisions that may be available under such definition). If this provision prevents the payment or distribution of any amount or benefit, such payment or distribution shall be made on the next earliest payment or distribution date or event specified in the Award agreement that is permissible under Section 409A of the Code. If this provision prevents the application of a different form of payment of any amount or benefit, such payment shall be made in the same form as would have applied absent such designated event or circumstance.</w:t>
      </w:r>
    </w:p>
    <w:p>
      <w:pPr>
        <w:spacing w:after="0" w:line="144" w:lineRule="exact"/>
        <w:rPr>
          <w:rFonts w:ascii="Times New Roman" w:cs="Times New Roman" w:eastAsia="Times New Roman" w:hAnsi="Times New Roman"/>
          <w:sz w:val="19"/>
          <w:szCs w:val="19"/>
          <w:color w:val="auto"/>
        </w:rPr>
      </w:pPr>
    </w:p>
    <w:p>
      <w:pPr>
        <w:jc w:val="both"/>
        <w:ind w:firstLine="631"/>
        <w:spacing w:after="0" w:line="214" w:lineRule="auto"/>
        <w:tabs>
          <w:tab w:leader="none" w:pos="1143"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Required Delay</w:t>
      </w:r>
      <w:r>
        <w:rPr>
          <w:rFonts w:ascii="Times New Roman" w:cs="Times New Roman" w:eastAsia="Times New Roman" w:hAnsi="Times New Roman"/>
          <w:sz w:val="19"/>
          <w:szCs w:val="19"/>
          <w:color w:val="auto"/>
        </w:rPr>
        <w:t>. Notwithstanding anything in the Plan or in any Award agreement to the contrary, if any amount or benefit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would constitute non-exempt "deferred compensation" for purposes of Section 409A of the Code would otherwise be payable or distributable under the Plan or any Award agreement by reason of a Participant's separation from service during a period in which the Participant is a Specified Employee (as defined below), then, subject to any permissible acceleration of payment by the Committee under Treas. Reg. Section 1.409A-3(j)</w:t>
      </w:r>
    </w:p>
    <w:p>
      <w:pPr>
        <w:spacing w:after="0" w:line="1" w:lineRule="exact"/>
        <w:rPr>
          <w:rFonts w:ascii="Times New Roman" w:cs="Times New Roman" w:eastAsia="Times New Roman" w:hAnsi="Times New Roman"/>
          <w:sz w:val="19"/>
          <w:szCs w:val="19"/>
          <w:color w:val="auto"/>
        </w:rPr>
      </w:pPr>
    </w:p>
    <w:p>
      <w:pPr>
        <w:jc w:val="both"/>
        <w:spacing w:after="0" w:line="2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(4)(ii) (domestic relations order), (j)(4)(iii) (conflicts of interest), or (j)(4)(vi) (payment of employment taxes): (i) the amount of such non-exempt deferred compensation that would otherwise be payable during the six-month period immediately following the Participant's separation from service will be accumulated through and paid or provided on the earlier of (a) the date of the Participant's death or (b) the date that is six months after the date of the Participant's separation from service with the Company (in either case, the "</w:t>
      </w:r>
      <w:r>
        <w:rPr>
          <w:rFonts w:ascii="Times New Roman" w:cs="Times New Roman" w:eastAsia="Times New Roman" w:hAnsi="Times New Roman"/>
          <w:sz w:val="19"/>
          <w:szCs w:val="19"/>
          <w:b w:val="1"/>
          <w:bCs w:val="1"/>
          <w:i w:val="1"/>
          <w:iCs w:val="1"/>
          <w:color w:val="auto"/>
        </w:rPr>
        <w:t>Required Delay Period"</w:t>
      </w:r>
      <w:r>
        <w:rPr>
          <w:rFonts w:ascii="Times New Roman" w:cs="Times New Roman" w:eastAsia="Times New Roman" w:hAnsi="Times New Roman"/>
          <w:sz w:val="19"/>
          <w:szCs w:val="19"/>
          <w:color w:val="auto"/>
        </w:rPr>
        <w:t>); and (ii) the normal payment or distribution schedule for any remaining payments or distributions will resume at the end of the Required Delay Period.</w:t>
      </w:r>
    </w:p>
    <w:p>
      <w:pPr>
        <w:spacing w:after="0" w:line="127" w:lineRule="exact"/>
        <w:rPr>
          <w:rFonts w:ascii="Times New Roman" w:cs="Times New Roman" w:eastAsia="Times New Roman" w:hAnsi="Times New Roman"/>
          <w:sz w:val="19"/>
          <w:szCs w:val="19"/>
          <w:color w:val="auto"/>
        </w:rPr>
      </w:pPr>
    </w:p>
    <w:p>
      <w:pPr>
        <w:jc w:val="both"/>
        <w:ind w:firstLine="631"/>
        <w:spacing w:after="0" w:line="224" w:lineRule="auto"/>
        <w:tabs>
          <w:tab w:leader="none" w:pos="108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Specified Employee Defined</w:t>
      </w:r>
      <w:r>
        <w:rPr>
          <w:rFonts w:ascii="Times New Roman" w:cs="Times New Roman" w:eastAsia="Times New Roman" w:hAnsi="Times New Roman"/>
          <w:sz w:val="19"/>
          <w:szCs w:val="19"/>
          <w:color w:val="auto"/>
        </w:rPr>
        <w:t>. For purposes of the Plan, the term "Specified Employee" has the meaning given such term in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409A of the Code and the final regulations thereunder, provided, however, that, as permitted in such final regulations, the Company's Specified Employees and its application of the six-month delay rule of Section 409A(a)(2)(B)(i) of the Code shall be determined in accordance with rules adopted by the Board or any committee of the Board, which shall be applied consistently with respect to all nonqualified deferred compensation arrangements of the Company, including the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XVI. MISCELLANEOUS</w:t>
      </w:r>
    </w:p>
    <w:p>
      <w:pPr>
        <w:spacing w:after="0" w:line="173" w:lineRule="exact"/>
        <w:rPr>
          <w:sz w:val="20"/>
          <w:szCs w:val="20"/>
          <w:color w:val="auto"/>
        </w:rPr>
      </w:pPr>
    </w:p>
    <w:p>
      <w:pPr>
        <w:jc w:val="both"/>
        <w:ind w:firstLine="631"/>
        <w:spacing w:after="0" w:line="221" w:lineRule="auto"/>
        <w:tabs>
          <w:tab w:leader="none" w:pos="109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Right To An Award</w:t>
      </w:r>
      <w:r>
        <w:rPr>
          <w:rFonts w:ascii="Times New Roman" w:cs="Times New Roman" w:eastAsia="Times New Roman" w:hAnsi="Times New Roman"/>
          <w:sz w:val="19"/>
          <w:szCs w:val="19"/>
          <w:color w:val="auto"/>
        </w:rPr>
        <w:t>. Neither the adoption of the Plan nor any action of the Board or of the Committee shall be deemed to give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11" w:lineRule="exact"/>
        <w:rPr>
          <w:sz w:val="20"/>
          <w:szCs w:val="20"/>
          <w:color w:val="auto"/>
        </w:rPr>
      </w:pPr>
    </w:p>
    <w:p>
      <w:pPr>
        <w:jc w:val="both"/>
        <w:ind w:firstLine="631"/>
        <w:spacing w:after="0" w:line="227" w:lineRule="auto"/>
        <w:tabs>
          <w:tab w:leader="none" w:pos="108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Employment/Membership Rights Conferred</w:t>
      </w:r>
      <w:r>
        <w:rPr>
          <w:rFonts w:ascii="Times New Roman" w:cs="Times New Roman" w:eastAsia="Times New Roman" w:hAnsi="Times New Roman"/>
          <w:sz w:val="19"/>
          <w:szCs w:val="19"/>
          <w:color w:val="auto"/>
        </w:rPr>
        <w:t>. Nothing contained in the Plan shall (i) confer upon any Employee or Consultant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right 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w:t>
      </w:r>
    </w:p>
    <w:p>
      <w:pPr>
        <w:spacing w:after="0" w:line="126" w:lineRule="exact"/>
        <w:rPr>
          <w:rFonts w:ascii="Times New Roman" w:cs="Times New Roman" w:eastAsia="Times New Roman" w:hAnsi="Times New Roman"/>
          <w:sz w:val="19"/>
          <w:szCs w:val="19"/>
          <w:color w:val="auto"/>
        </w:rPr>
      </w:pPr>
    </w:p>
    <w:p>
      <w:pPr>
        <w:jc w:val="both"/>
        <w:ind w:firstLine="631"/>
        <w:spacing w:after="0" w:line="219" w:lineRule="auto"/>
        <w:tabs>
          <w:tab w:leader="none" w:pos="109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Laws; Withholding</w:t>
      </w:r>
      <w:r>
        <w:rPr>
          <w:rFonts w:ascii="Times New Roman" w:cs="Times New Roman" w:eastAsia="Times New Roman" w:hAnsi="Times New Roman"/>
          <w:sz w:val="19"/>
          <w:szCs w:val="19"/>
          <w:color w:val="auto"/>
        </w:rPr>
        <w:t>. The Company shall not be obligated to issue any Common Stock pursuant to any Award granted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Plan at any time when the shares covered by such Award have not been registered under the Securities Act of 1933,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The Company shall have the right to deduct in connection with all Awards any taxes required by law to be withheld and to require any payments required to enable it to satisfy its withholding obligations.</w:t>
      </w:r>
    </w:p>
    <w:p>
      <w:pPr>
        <w:spacing w:after="0" w:line="131" w:lineRule="exact"/>
        <w:rPr>
          <w:rFonts w:ascii="Times New Roman" w:cs="Times New Roman" w:eastAsia="Times New Roman" w:hAnsi="Times New Roman"/>
          <w:sz w:val="19"/>
          <w:szCs w:val="19"/>
          <w:color w:val="auto"/>
        </w:rPr>
      </w:pPr>
    </w:p>
    <w:p>
      <w:pPr>
        <w:jc w:val="both"/>
        <w:ind w:firstLine="631"/>
        <w:spacing w:after="0" w:line="227" w:lineRule="auto"/>
        <w:tabs>
          <w:tab w:leader="none" w:pos="114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Restriction on Corporate Action</w:t>
      </w:r>
      <w:r>
        <w:rPr>
          <w:rFonts w:ascii="Times New Roman" w:cs="Times New Roman" w:eastAsia="Times New Roman" w:hAnsi="Times New Roman"/>
          <w:sz w:val="19"/>
          <w:szCs w:val="19"/>
          <w:color w:val="auto"/>
        </w:rPr>
        <w:t>. Nothing contained in the Plan shall be construed to prevent the Company or any Affiliate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or any Affiliate as a result of any such action.</w:t>
      </w:r>
    </w:p>
    <w:p>
      <w:pPr>
        <w:spacing w:after="0" w:line="126" w:lineRule="exact"/>
        <w:rPr>
          <w:rFonts w:ascii="Times New Roman" w:cs="Times New Roman" w:eastAsia="Times New Roman" w:hAnsi="Times New Roman"/>
          <w:sz w:val="19"/>
          <w:szCs w:val="19"/>
          <w:color w:val="auto"/>
        </w:rPr>
      </w:pPr>
    </w:p>
    <w:p>
      <w:pPr>
        <w:jc w:val="both"/>
        <w:ind w:firstLine="631"/>
        <w:spacing w:after="0" w:line="227" w:lineRule="auto"/>
        <w:tabs>
          <w:tab w:leader="none" w:pos="113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on Transfer</w:t>
      </w:r>
      <w:r>
        <w:rPr>
          <w:rFonts w:ascii="Times New Roman" w:cs="Times New Roman" w:eastAsia="Times New Roman" w:hAnsi="Times New Roman"/>
          <w:sz w:val="19"/>
          <w:szCs w:val="19"/>
          <w:color w:val="auto"/>
        </w:rPr>
        <w:t>. An Award (other than an Incentive Stock Option, which shall be subject to the transfer restrictions 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w:t>
      </w:r>
    </w:p>
    <w:p>
      <w:pPr>
        <w:spacing w:after="0" w:line="139" w:lineRule="exact"/>
        <w:rPr>
          <w:rFonts w:ascii="Times New Roman" w:cs="Times New Roman" w:eastAsia="Times New Roman" w:hAnsi="Times New Roman"/>
          <w:sz w:val="19"/>
          <w:szCs w:val="19"/>
          <w:color w:val="auto"/>
        </w:rPr>
      </w:pPr>
    </w:p>
    <w:p>
      <w:pPr>
        <w:jc w:val="both"/>
        <w:ind w:firstLine="631"/>
        <w:spacing w:after="0" w:line="219" w:lineRule="auto"/>
        <w:tabs>
          <w:tab w:leader="none" w:pos="1083"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color w:val="auto"/>
        </w:rPr>
        <w:t>. Awards and amounts paid or payable pursuant to or with respect to Awards to a Participant who is (or was) an "officer"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 within the meaning of Rule 16a-1(f) promulgated pursuant to the Exchange Act shall be subject to clawback in the event that the Company's financial statements are required to be restated as a result of material non-compliance with any financial reporting requirements under federal securities laws to the extent that the Committee determines, in its discretion, that such restatement is a result of such officer's commission of fraud or willful misconduct. Notwithstanding any provision of the Plan or any Award agreement to the contrary, the Company reserves the right, without the consent of any Participant, to adopt any additional clawback policies and procedures, including such policies and procedures applicable to the Plan or any Award agreement with retroactive effect.</w:t>
      </w:r>
    </w:p>
    <w:p>
      <w:pPr>
        <w:spacing w:after="0" w:line="131" w:lineRule="exact"/>
        <w:rPr>
          <w:rFonts w:ascii="Times New Roman" w:cs="Times New Roman" w:eastAsia="Times New Roman" w:hAnsi="Times New Roman"/>
          <w:sz w:val="19"/>
          <w:szCs w:val="19"/>
          <w:color w:val="auto"/>
        </w:rPr>
      </w:pPr>
    </w:p>
    <w:p>
      <w:pPr>
        <w:jc w:val="both"/>
        <w:ind w:firstLine="631"/>
        <w:spacing w:after="0" w:line="224" w:lineRule="auto"/>
        <w:tabs>
          <w:tab w:leader="none" w:pos="111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Foreign Awardees</w:t>
      </w:r>
      <w:r>
        <w:rPr>
          <w:rFonts w:ascii="Times New Roman" w:cs="Times New Roman" w:eastAsia="Times New Roman" w:hAnsi="Times New Roman"/>
          <w:sz w:val="19"/>
          <w:szCs w:val="19"/>
          <w:color w:val="auto"/>
        </w:rPr>
        <w:t>. Without amending the Plan, the Committee may grant Awards to eligible persons who are foreign nationals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subplans and the like as may be necessary or advisable to comply with the provisions of laws and regulations in other countries or jurisdiction in which the Company or its Affiliates operate.</w:t>
      </w:r>
    </w:p>
    <w:p>
      <w:pPr>
        <w:spacing w:after="0" w:line="129" w:lineRule="exact"/>
        <w:rPr>
          <w:rFonts w:ascii="Times New Roman" w:cs="Times New Roman" w:eastAsia="Times New Roman" w:hAnsi="Times New Roman"/>
          <w:sz w:val="19"/>
          <w:szCs w:val="19"/>
          <w:color w:val="auto"/>
        </w:rPr>
      </w:pPr>
    </w:p>
    <w:p>
      <w:pPr>
        <w:ind w:firstLine="631"/>
        <w:spacing w:after="0" w:line="252" w:lineRule="auto"/>
        <w:tabs>
          <w:tab w:leader="none" w:pos="11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The Plan shall be governed by, and construed in accordance with, the laws of the State of Delaware,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 to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EXHIBIT A</w:t>
      </w:r>
    </w:p>
    <w:p>
      <w:pPr>
        <w:ind w:left="2300"/>
        <w:spacing w:after="0" w:line="202" w:lineRule="auto"/>
        <w:rPr>
          <w:sz w:val="20"/>
          <w:szCs w:val="20"/>
          <w:color w:val="auto"/>
        </w:rPr>
      </w:pPr>
      <w:r>
        <w:rPr>
          <w:rFonts w:ascii="Times New Roman" w:cs="Times New Roman" w:eastAsia="Times New Roman" w:hAnsi="Times New Roman"/>
          <w:sz w:val="19"/>
          <w:szCs w:val="19"/>
          <w:b w:val="1"/>
          <w:bCs w:val="1"/>
          <w:color w:val="auto"/>
        </w:rPr>
        <w:t>2016 SECOND AMENDED AND RESTATED STOCK AND INCENTIVE PLAN</w:t>
      </w: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as of May 12, 2020)</w:t>
      </w:r>
    </w:p>
    <w:p>
      <w:pPr>
        <w:spacing w:after="0" w:line="151" w:lineRule="exact"/>
        <w:rPr>
          <w:sz w:val="20"/>
          <w:szCs w:val="20"/>
          <w:color w:val="auto"/>
        </w:rPr>
      </w:pPr>
    </w:p>
    <w:p>
      <w:pPr>
        <w:ind w:firstLine="627"/>
        <w:spacing w:after="0" w:line="237" w:lineRule="auto"/>
        <w:rPr>
          <w:sz w:val="20"/>
          <w:szCs w:val="20"/>
          <w:color w:val="auto"/>
        </w:rPr>
      </w:pPr>
      <w:r>
        <w:rPr>
          <w:rFonts w:ascii="Times New Roman" w:cs="Times New Roman" w:eastAsia="Times New Roman" w:hAnsi="Times New Roman"/>
          <w:sz w:val="19"/>
          <w:szCs w:val="19"/>
          <w:color w:val="auto"/>
        </w:rPr>
        <w:t>Except as otherwise provided in an Award agreement, the definitions set forth in this Exhibit A shall also apply in the case of any provision of the Plan or any Award agreement that includes the term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Acquiring Person </w:t>
      </w:r>
      <w:r>
        <w:rPr>
          <w:rFonts w:ascii="Times New Roman" w:cs="Times New Roman" w:eastAsia="Times New Roman" w:hAnsi="Times New Roman"/>
          <w:sz w:val="19"/>
          <w:szCs w:val="19"/>
          <w:color w:val="auto"/>
        </w:rPr>
        <w:t>means any individual, entity or group (within the meaning of Section 13(d)(3) or 14(d)(2) of the Exchange Act).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Change in Control </w:t>
      </w:r>
      <w:r>
        <w:rPr>
          <w:rFonts w:ascii="Times New Roman" w:cs="Times New Roman" w:eastAsia="Times New Roman" w:hAnsi="Times New Roman"/>
          <w:sz w:val="19"/>
          <w:szCs w:val="19"/>
          <w:color w:val="auto"/>
        </w:rPr>
        <w:t>means:</w:t>
      </w:r>
    </w:p>
    <w:p>
      <w:pPr>
        <w:spacing w:after="0" w:line="162" w:lineRule="exact"/>
        <w:rPr>
          <w:sz w:val="20"/>
          <w:szCs w:val="20"/>
          <w:color w:val="auto"/>
        </w:rPr>
      </w:pPr>
    </w:p>
    <w:p>
      <w:pPr>
        <w:jc w:val="both"/>
        <w:ind w:firstLine="631"/>
        <w:spacing w:after="0" w:line="222" w:lineRule="auto"/>
        <w:tabs>
          <w:tab w:leader="none" w:pos="122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any Acquiring Person of beneficial ownership (within the meaning of Rule 13d-3 promulgated under the Exchange Act) of fifty percent (50%) or more of either (1) the then outstanding shares of common stock of the Company (the "</w:t>
      </w:r>
      <w:r>
        <w:rPr>
          <w:rFonts w:ascii="Times New Roman" w:cs="Times New Roman" w:eastAsia="Times New Roman" w:hAnsi="Times New Roman"/>
          <w:sz w:val="19"/>
          <w:szCs w:val="19"/>
          <w:b w:val="1"/>
          <w:bCs w:val="1"/>
          <w:i w:val="1"/>
          <w:iCs w:val="1"/>
          <w:color w:val="auto"/>
        </w:rPr>
        <w:t>Outstanding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Company Common Stock"</w:t>
      </w:r>
      <w:r>
        <w:rPr>
          <w:rFonts w:ascii="Times New Roman" w:cs="Times New Roman" w:eastAsia="Times New Roman" w:hAnsi="Times New Roman"/>
          <w:sz w:val="19"/>
          <w:szCs w:val="19"/>
          <w:color w:val="auto"/>
        </w:rPr>
        <w:t>) or (2) the combined voting power of the then outstanding voting securities of the Company entitled to vote generally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the election of directors (the "</w:t>
      </w:r>
      <w:r>
        <w:rPr>
          <w:rFonts w:ascii="Times New Roman" w:cs="Times New Roman" w:eastAsia="Times New Roman" w:hAnsi="Times New Roman"/>
          <w:sz w:val="19"/>
          <w:szCs w:val="19"/>
          <w:b w:val="1"/>
          <w:bCs w:val="1"/>
          <w:i w:val="1"/>
          <w:iCs w:val="1"/>
          <w:color w:val="auto"/>
        </w:rPr>
        <w:t>Outstanding Company Voting Securities"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for purposes of this subsection (a) any acquisition by any Acquiring Person pursuant to a transaction which complies with clause (c)(1) of this definition shall not constitute a Change in Control; or</w:t>
      </w:r>
    </w:p>
    <w:p>
      <w:pPr>
        <w:spacing w:after="0" w:line="127" w:lineRule="exact"/>
        <w:rPr>
          <w:rFonts w:ascii="Times New Roman" w:cs="Times New Roman" w:eastAsia="Times New Roman" w:hAnsi="Times New Roman"/>
          <w:sz w:val="19"/>
          <w:szCs w:val="19"/>
          <w:color w:val="auto"/>
        </w:rPr>
      </w:pPr>
    </w:p>
    <w:p>
      <w:pPr>
        <w:jc w:val="both"/>
        <w:ind w:firstLine="631"/>
        <w:spacing w:after="0" w:line="220" w:lineRule="auto"/>
        <w:tabs>
          <w:tab w:leader="none" w:pos="111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Individuals, who, immediately following the Effective Date, constitute the Board (the "</w:t>
      </w:r>
      <w:r>
        <w:rPr>
          <w:rFonts w:ascii="Times New Roman" w:cs="Times New Roman" w:eastAsia="Times New Roman" w:hAnsi="Times New Roman"/>
          <w:sz w:val="19"/>
          <w:szCs w:val="19"/>
          <w:b w:val="1"/>
          <w:bCs w:val="1"/>
          <w:i w:val="1"/>
          <w:iCs w:val="1"/>
          <w:color w:val="auto"/>
        </w:rPr>
        <w:t>Incumbent Board"</w:t>
      </w:r>
      <w:r>
        <w:rPr>
          <w:rFonts w:ascii="Times New Roman" w:cs="Times New Roman" w:eastAsia="Times New Roman" w:hAnsi="Times New Roman"/>
          <w:sz w:val="19"/>
          <w:szCs w:val="19"/>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for purposes of this definition as though such individual was a member of the Incumbent Board, but excluding, for these purposes, any such individual whose initial assumption of office as a director occurs as a result of an actual or threatened election contest with respect to the election or removal of directors or other actual or threatened solicitation of proxies or consents by or on behalf of an Acquiring Person other than the Board; or</w:t>
      </w:r>
    </w:p>
    <w:p>
      <w:pPr>
        <w:spacing w:after="0" w:line="129" w:lineRule="exact"/>
        <w:rPr>
          <w:rFonts w:ascii="Times New Roman" w:cs="Times New Roman" w:eastAsia="Times New Roman" w:hAnsi="Times New Roman"/>
          <w:sz w:val="19"/>
          <w:szCs w:val="19"/>
          <w:color w:val="auto"/>
        </w:rPr>
      </w:pPr>
    </w:p>
    <w:p>
      <w:pPr>
        <w:jc w:val="both"/>
        <w:ind w:firstLine="631"/>
        <w:spacing w:after="0" w:line="214" w:lineRule="auto"/>
        <w:tabs>
          <w:tab w:leader="none" w:pos="120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Corporate Transaction unless, following such Corporate Transaction, (1)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Company (if it be the ultimate parent entity following such Corporate Transaction) or the corporation resulting from such Corporate Transaction (or the ultimate parent entity which as a result of such transaction owns the Company or all or substantially all of the Company's assets either directly or through one or more subsidiaries), and (2) at least a majority of the members of the board of directors of the ultimate parent entity resulting from such Corporate Transaction were members of the Board at the time of the execution of the initial agreement, or of the action of the Board, providing for such Corporate Transaction. For purposes of the foregoing sentence, only (A) shares of common stock and voting securities of the Company, assuming the Company is the ultimate parent entity following such Corporate Transaction, held by a beneficial owner immediately prior to such Corporate Transaction and any additional shares of common stock and voting securities of the Company issuable to such beneficial owner in connection with such Corporate Transaction in respect of the shares of common stock and voting securities of the Company held by such beneficial owner immediately prior to such Corporate Transaction, or (B) shares of common stock and voting securities of the ultimate parent entity following such Corporate Transaction, assuming the Company is not the ultimate parent entity following such Corporate Transaction, issuable to a beneficial owner in respect of the shares of common stock and voting securities of the Company held by such beneficial owner immediately prior to such Corporate Transaction, in either case shall be included in determining whether or not the fifty percent (50%) ownership test in this subsection (c)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ectPr>
          <w:pgSz w:w="11900" w:h="16838" w:orient="portrait"/>
          <w:cols w:equalWidth="0" w:num="1">
            <w:col w:w="11240"/>
          </w:cols>
          <w:pgMar w:left="320" w:top="1440" w:right="33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Corporate Transaction </w:t>
      </w:r>
      <w:r>
        <w:rPr>
          <w:rFonts w:ascii="Times New Roman" w:cs="Times New Roman" w:eastAsia="Times New Roman" w:hAnsi="Times New Roman"/>
          <w:sz w:val="19"/>
          <w:szCs w:val="19"/>
          <w:color w:val="auto"/>
        </w:rPr>
        <w:t>means a reorganization, merger or consolidation of the Company, any of its subsidiaries or sale, lease or other</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disposition of all or substantially all of the assets of the Company and its subsidiaries, taken as a whole (other than to an entity wholly owned, directly or indirectly, by the Company) or the liquidation or dissolution of the Company.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Exchange Act </w:t>
      </w:r>
      <w:r>
        <w:rPr>
          <w:rFonts w:ascii="Times New Roman" w:cs="Times New Roman" w:eastAsia="Times New Roman" w:hAnsi="Times New Roman"/>
          <w:sz w:val="19"/>
          <w:szCs w:val="19"/>
          <w:color w:val="auto"/>
        </w:rPr>
        <w:t>means the Securities Exchange Act of 1934, as amended.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Person </w:t>
      </w:r>
      <w:r>
        <w:rPr>
          <w:rFonts w:ascii="Times New Roman" w:cs="Times New Roman" w:eastAsia="Times New Roman" w:hAnsi="Times New Roman"/>
          <w:sz w:val="19"/>
          <w:szCs w:val="19"/>
          <w:color w:val="auto"/>
        </w:rPr>
        <w:t>means any natural person, limited liability company, corporation, limited partnership, general partnership, joint stock company,</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joint venture, association, company, trust, bank trust company, land trust, business trust, or other organization, whether or not a legal entity, and any government or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B-16</w:t>
      </w:r>
    </w:p>
    <w:p>
      <w:pPr>
        <w:sectPr>
          <w:pgSz w:w="11900" w:h="16838" w:orient="portrait"/>
          <w:cols w:equalWidth="0" w:num="1">
            <w:col w:w="11240"/>
          </w:cols>
          <w:pgMar w:left="320" w:top="1355" w:right="33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1033780</wp:posOffset>
            </wp:positionV>
            <wp:extent cx="5073015" cy="656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073015" cy="6564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884555</wp:posOffset>
            </wp:positionV>
            <wp:extent cx="5073015" cy="656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073015" cy="65646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v"/>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2"/>
      <w:numFmt w:val="bullet"/>
      <w:start w:val="1"/>
    </w:lvl>
  </w:abstractNum>
  <w:abstractNum w:abstractNumId="18">
    <w:nsid w:val="70A64E2A"/>
    <w:multiLevelType w:val="hybridMultilevel"/>
    <w:lvl w:ilvl="0">
      <w:lvlJc w:val="left"/>
      <w:lvlText w:val="(%1)"/>
      <w:numFmt w:val="decimal"/>
      <w:start w:val="1"/>
    </w:lvl>
    <w:lvl w:ilvl="1">
      <w:lvlJc w:val="left"/>
      <w:lvlText w:val="(%2)"/>
      <w:numFmt w:val="lowerLetter"/>
      <w:start w:val="4"/>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8"/>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lvl w:ilvl="1">
      <w:lvlJc w:val="left"/>
      <w:lvlText w:val="(%2)"/>
      <w:numFmt w:val="decimal"/>
      <w:start w:val="2"/>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3"/>
    </w:lvl>
  </w:abstractNum>
  <w:abstractNum w:abstractNumId="29">
    <w:nsid w:val="38437FDB"/>
    <w:multiLevelType w:val="hybridMultilevel"/>
    <w:lvl w:ilvl="0">
      <w:lvlJc w:val="left"/>
      <w:lvlText w:val="(%1)"/>
      <w:numFmt w:val="decimal"/>
      <w:start w:val="5"/>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7"/>
    </w:lvl>
  </w:abstractNum>
  <w:abstractNum w:abstractNumId="39">
    <w:nsid w:val="12E685FB"/>
    <w:multiLevelType w:val="hybridMultilevel"/>
    <w:lvl w:ilvl="0">
      <w:lvlJc w:val="left"/>
      <w:lvlText w:val="(%1)"/>
      <w:numFmt w:val="lowerLetter"/>
      <w:start w:val="21"/>
    </w:lvl>
  </w:abstractNum>
  <w:abstractNum w:abstractNumId="40">
    <w:nsid w:val="70C6A529"/>
    <w:multiLevelType w:val="hybridMultilevel"/>
    <w:lvl w:ilvl="0">
      <w:lvlJc w:val="left"/>
      <w:lvlText w:val="(%1)"/>
      <w:numFmt w:val="lowerLetter"/>
      <w:start w:val="24"/>
    </w:lvl>
  </w:abstractNum>
  <w:abstractNum w:abstractNumId="41">
    <w:nsid w:val="520EEDD1"/>
    <w:multiLevelType w:val="hybridMultilevel"/>
    <w:lvl w:ilvl="0">
      <w:lvlJc w:val="left"/>
      <w:lvlText w:val="(%1)"/>
      <w:numFmt w:val="lowerLetter"/>
      <w:start w:val="27"/>
    </w:lvl>
  </w:abstractNum>
  <w:abstractNum w:abstractNumId="42">
    <w:nsid w:val="374A3FE6"/>
    <w:multiLevelType w:val="hybridMultilevel"/>
    <w:lvl w:ilvl="0">
      <w:lvlJc w:val="left"/>
      <w:lvlText w:val="(%1)"/>
      <w:numFmt w:val="lowerLetter"/>
      <w:start w:val="30"/>
    </w:lvl>
  </w:abstractNum>
  <w:abstractNum w:abstractNumId="43">
    <w:nsid w:val="4F4EF005"/>
    <w:multiLevelType w:val="hybridMultilevel"/>
    <w:lvl w:ilvl="0">
      <w:lvlJc w:val="left"/>
      <w:lvlText w:val="(%1)"/>
      <w:numFmt w:val="lowerLetter"/>
      <w:start w:val="33"/>
    </w:lvl>
    <w:lvl w:ilvl="1">
      <w:lvlJc w:val="left"/>
      <w:lvlText w:val="%2."/>
      <w:numFmt w:val="upperLetter"/>
      <w:start w:val="61"/>
    </w:lvl>
  </w:abstractNum>
  <w:abstractNum w:abstractNumId="44">
    <w:nsid w:val="23F9C13C"/>
    <w:multiLevelType w:val="hybridMultilevel"/>
    <w:lvl w:ilvl="0">
      <w:lvlJc w:val="left"/>
      <w:lvlText w:val="%1"/>
      <w:numFmt w:val="lowerLetter"/>
      <w:start w:val="1"/>
    </w:lvl>
    <w:lvl w:ilvl="1">
      <w:lvlJc w:val="left"/>
      <w:lvlText w:val="(%2)"/>
      <w:numFmt w:val="lowerLetter"/>
      <w:start w:val="1"/>
    </w:lvl>
  </w:abstractNum>
  <w:abstractNum w:abstractNumId="45">
    <w:nsid w:val="649BB77C"/>
    <w:multiLevelType w:val="hybridMultilevel"/>
    <w:lvl w:ilvl="0">
      <w:lvlJc w:val="left"/>
      <w:lvlText w:val="(%1)"/>
      <w:numFmt w:val="lowerLetter"/>
      <w:start w:val="35"/>
    </w:lvl>
    <w:lvl w:ilvl="1">
      <w:lvlJc w:val="left"/>
      <w:lvlText w:val="%2"/>
      <w:numFmt w:val="lowerLetter"/>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lowerLetter"/>
      <w:start w:val="6"/>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4"/>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61"/>
    </w:lvl>
    <w:lvl w:ilvl="1">
      <w:lvlJc w:val="left"/>
      <w:lvlText w:val="(%2)"/>
      <w:numFmt w:val="lowerLetter"/>
      <w:start w:val="2"/>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lowerLetter"/>
      <w:start w:val="5"/>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lowerLetter"/>
      <w:start w:val="2"/>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2024-03-27T07:28:48Z</dcterms:created>
  <dcterms:modified xsi:type="dcterms:W3CDTF">2024-03-27T07:28:48Z</dcterms:modified>
</cp:coreProperties>
</file>