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UNITED STATES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left"/>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before="40" w:after="283"/>
        <w:jc w:val="left"/>
        <w:rPr/>
      </w:pPr>
      <w:r>
        <w:rPr/>
      </w:r>
    </w:p>
    <w:p>
      <w:pPr>
        <w:pStyle w:val="TextBody"/>
        <w:bidi w:val="0"/>
        <w:spacing w:lineRule="auto" w:line="288" w:before="40" w:after="283"/>
        <w:jc w:val="center"/>
        <w:rPr>
          <w:rFonts w:ascii="Times New Roman;serif" w:hAnsi="Times New Roman;serif"/>
          <w:b/>
          <w:color w:val="000000"/>
          <w:sz w:val="18"/>
        </w:rPr>
      </w:pPr>
      <w:r>
        <w:rPr>
          <w:rFonts w:ascii="Times New Roman;serif" w:hAnsi="Times New Roman;serif"/>
          <w:b/>
          <w:color w:val="000000"/>
          <w:sz w:val="18"/>
        </w:rPr>
        <w:t>OR</w:t>
      </w:r>
    </w:p>
    <w:p>
      <w:pPr>
        <w:pStyle w:val="TextBody"/>
        <w:bidi w:val="0"/>
        <w:spacing w:before="40" w:after="283"/>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40" w:after="283"/>
        <w:jc w:val="left"/>
        <w:rPr>
          <w:rFonts w:ascii="Times New Roman;serif" w:hAnsi="Times New Roman;serif"/>
          <w:b/>
          <w:color w:val="000000"/>
          <w:sz w:val="18"/>
        </w:rPr>
      </w:pPr>
      <w:r>
        <w:rPr>
          <w:rFonts w:ascii="Times New Roman;serif" w:hAnsi="Times New Roman;serif"/>
          <w:b/>
          <w:color w:val="000000"/>
          <w:sz w:val="18"/>
        </w:rPr>
        <w:t>For the transition period from __________ to __________</w:t>
      </w:r>
    </w:p>
    <w:p>
      <w:pPr>
        <w:pStyle w:val="TextBody"/>
        <w:bidi w:val="0"/>
        <w:spacing w:before="40" w:after="283"/>
        <w:jc w:val="left"/>
        <w:rPr/>
      </w:pPr>
      <w:r>
        <w:rPr/>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Commission File Number 001-35504</w:t>
      </w:r>
    </w:p>
    <w:p>
      <w:pPr>
        <w:pStyle w:val="TextBody"/>
        <w:bidi w:val="0"/>
        <w:spacing w:before="40" w:after="283"/>
        <w:jc w:val="center"/>
        <w:rPr/>
      </w:pPr>
      <w:r>
        <w:rPr/>
      </w:r>
    </w:p>
    <w:p>
      <w:pPr>
        <w:pStyle w:val="TextBody"/>
        <w:bidi w:val="0"/>
        <w:spacing w:lineRule="auto" w:line="288" w:before="60" w:after="283"/>
        <w:jc w:val="center"/>
        <w:rPr>
          <w:rFonts w:ascii="Times New Roman;serif" w:hAnsi="Times New Roman;serif"/>
          <w:b/>
          <w:color w:val="000000"/>
          <w:sz w:val="48"/>
        </w:rPr>
      </w:pPr>
      <w:r>
        <w:rPr>
          <w:rFonts w:ascii="Times New Roman;serif" w:hAnsi="Times New Roman;serif"/>
          <w:b/>
          <w:color w:val="000000"/>
          <w:sz w:val="48"/>
        </w:rPr>
        <w:t xml:space="preserve">FORUM ENERGY TECHNOLOGIES, INC.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its charter)</w:t>
      </w:r>
    </w:p>
    <w:p>
      <w:pPr>
        <w:pStyle w:val="TextBody"/>
        <w:bidi w:val="0"/>
        <w:spacing w:before="0" w:after="0"/>
        <w:jc w:val="center"/>
        <w:rPr/>
      </w:pPr>
      <w:r>
        <w:rPr/>
      </w:r>
    </w:p>
    <w:tbl>
      <w:tblPr>
        <w:tblW w:w="6337" w:type="dxa"/>
        <w:jc w:val="center"/>
        <w:tblInd w:w="0" w:type="dxa"/>
        <w:tblLayout w:type="fixed"/>
        <w:tblCellMar>
          <w:top w:w="28" w:type="dxa"/>
          <w:left w:w="28" w:type="dxa"/>
          <w:bottom w:w="28" w:type="dxa"/>
          <w:right w:w="28" w:type="dxa"/>
        </w:tblCellMar>
      </w:tblPr>
      <w:tblGrid>
        <w:gridCol w:w="965"/>
        <w:gridCol w:w="847"/>
        <w:gridCol w:w="857"/>
        <w:gridCol w:w="109"/>
        <w:gridCol w:w="109"/>
        <w:gridCol w:w="109"/>
        <w:gridCol w:w="109"/>
        <w:gridCol w:w="109"/>
        <w:gridCol w:w="109"/>
        <w:gridCol w:w="881"/>
        <w:gridCol w:w="881"/>
        <w:gridCol w:w="1252"/>
      </w:tblGrid>
      <w:tr>
        <w:trPr/>
        <w:tc>
          <w:tcPr>
            <w:tcW w:w="96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14"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41" w:type="dxa"/>
            <w:gridSpan w:val="6"/>
            <w:tcBorders/>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61-1488595</w:t>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(I.R.S. Employer Identification No.)</w:t>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6195" w:type="dxa"/>
        <w:jc w:val="center"/>
        <w:tblInd w:w="0" w:type="dxa"/>
        <w:tblLayout w:type="fixed"/>
        <w:tblCellMar>
          <w:top w:w="28" w:type="dxa"/>
          <w:left w:w="28" w:type="dxa"/>
          <w:bottom w:w="28" w:type="dxa"/>
          <w:right w:w="28" w:type="dxa"/>
        </w:tblCellMar>
      </w:tblPr>
      <w:tblGrid>
        <w:gridCol w:w="1015"/>
        <w:gridCol w:w="893"/>
        <w:gridCol w:w="896"/>
        <w:gridCol w:w="314"/>
        <w:gridCol w:w="314"/>
        <w:gridCol w:w="316"/>
        <w:gridCol w:w="270"/>
        <w:gridCol w:w="270"/>
        <w:gridCol w:w="271"/>
        <w:gridCol w:w="205"/>
        <w:gridCol w:w="205"/>
        <w:gridCol w:w="206"/>
        <w:gridCol w:w="299"/>
        <w:gridCol w:w="299"/>
        <w:gridCol w:w="422"/>
      </w:tblGrid>
      <w:tr>
        <w:trPr/>
        <w:tc>
          <w:tcPr>
            <w:tcW w:w="101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10344 Sam Houston Park Drive</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Suite 300</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Houston</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Texas</w:t>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77064</w:t>
            </w:r>
          </w:p>
        </w:tc>
      </w:tr>
      <w:tr>
        <w:trPr/>
        <w:tc>
          <w:tcPr>
            <w:tcW w:w="517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(Address of Principal Executive Offices)</w:t>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(Zip Code)</w:t>
            </w:r>
          </w:p>
        </w:tc>
      </w:tr>
    </w:tbl>
    <w:tbl>
      <w:tblPr>
        <w:tblW w:w="1499" w:type="dxa"/>
        <w:jc w:val="center"/>
        <w:tblInd w:w="0" w:type="dxa"/>
        <w:tblLayout w:type="fixed"/>
        <w:tblCellMar>
          <w:top w:w="28" w:type="dxa"/>
          <w:left w:w="28" w:type="dxa"/>
          <w:bottom w:w="28" w:type="dxa"/>
          <w:right w:w="28" w:type="dxa"/>
        </w:tblCellMar>
      </w:tblPr>
      <w:tblGrid>
        <w:gridCol w:w="200"/>
        <w:gridCol w:w="177"/>
        <w:gridCol w:w="178"/>
        <w:gridCol w:w="276"/>
        <w:gridCol w:w="276"/>
        <w:gridCol w:w="39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(281)</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949-2500</w:t>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60" w:after="6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552" w:type="dxa"/>
        <w:jc w:val="left"/>
        <w:tblInd w:w="0" w:type="dxa"/>
        <w:tblLayout w:type="fixed"/>
        <w:tblCellMar>
          <w:top w:w="28" w:type="dxa"/>
          <w:left w:w="28" w:type="dxa"/>
          <w:bottom w:w="28" w:type="dxa"/>
          <w:right w:w="28" w:type="dxa"/>
        </w:tblCellMar>
      </w:tblPr>
      <w:tblGrid>
        <w:gridCol w:w="570"/>
        <w:gridCol w:w="499"/>
        <w:gridCol w:w="505"/>
        <w:gridCol w:w="109"/>
        <w:gridCol w:w="109"/>
        <w:gridCol w:w="109"/>
        <w:gridCol w:w="539"/>
        <w:gridCol w:w="539"/>
        <w:gridCol w:w="541"/>
        <w:gridCol w:w="109"/>
        <w:gridCol w:w="109"/>
        <w:gridCol w:w="109"/>
        <w:gridCol w:w="1085"/>
        <w:gridCol w:w="1085"/>
        <w:gridCol w:w="1535"/>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15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NYSE Texas, Inc.</w:t>
            </w:r>
          </w:p>
        </w:tc>
      </w:tr>
    </w:tbl>
    <w:p>
      <w:pPr>
        <w:pStyle w:val="TextBody"/>
        <w:bidi w:val="0"/>
        <w:spacing w:lineRule="auto" w:line="288" w:before="120" w:after="283"/>
        <w:ind w:left="0" w:right="0" w:firstLine="180"/>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20" w:after="283"/>
        <w:ind w:left="0" w:right="0" w:firstLine="180"/>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20" w:after="283"/>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776"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94"/>
        <w:gridCol w:w="694"/>
        <w:gridCol w:w="69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20" w:after="283"/>
        <w:ind w:left="0" w:right="0" w:firstLine="18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120" w:after="283"/>
        <w:ind w:left="0" w:right="0" w:firstLine="180"/>
        <w:jc w:val="both"/>
        <w:rPr/>
      </w:pPr>
      <w:r>
        <w:rPr>
          <w:rFonts w:ascii="Times New Roman;serif" w:hAnsi="Times New Roman;serif"/>
          <w:b w:val="false"/>
          <w:color w:val="000000"/>
          <w:sz w:val="20"/>
        </w:rPr>
        <w:t xml:space="preserve">Indicate by check mark whether the registrant is a shell company (as defined in Rule 12b-2 of the Exchange Act). Yes ☐ No </w:t>
      </w:r>
      <w:r>
        <w:rPr>
          <w:color w:val="000000"/>
        </w:rPr>
        <w:t xml:space="preserve">☑ </w:t>
      </w:r>
    </w:p>
    <w:p>
      <w:pPr>
        <w:pStyle w:val="TextBody"/>
        <w:bidi w:val="0"/>
        <w:spacing w:lineRule="auto" w:line="288" w:before="120" w:after="283"/>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As of July 24, 2026, there were 11,246,295 common shares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60" w:after="60"/>
        <w:jc w:val="center"/>
        <w:rPr/>
      </w:pPr>
      <w:r>
        <w:rPr/>
      </w:r>
    </w:p>
    <w:p>
      <w:pPr>
        <w:pStyle w:val="TextBody"/>
        <w:bidi w:val="0"/>
        <w:spacing w:lineRule="auto" w:line="288" w:before="60" w:after="60"/>
        <w:jc w:val="center"/>
        <w:rPr>
          <w:rFonts w:ascii="Arial;sans-serif" w:hAnsi="Arial;sans-serif"/>
          <w:b/>
          <w:color w:val="000000"/>
          <w:sz w:val="24"/>
        </w:rPr>
      </w:pPr>
      <w:r>
        <w:rPr>
          <w:rFonts w:ascii="Arial;sans-serif" w:hAnsi="Arial;sans-serif"/>
          <w:b/>
          <w:color w:val="000000"/>
          <w:sz w:val="24"/>
        </w:rPr>
        <w:t>Table of Contents</w:t>
      </w:r>
    </w:p>
    <w:tbl>
      <w:tblPr>
        <w:tblW w:w="8622" w:type="dxa"/>
        <w:jc w:val="center"/>
        <w:tblInd w:w="0" w:type="dxa"/>
        <w:tblLayout w:type="fixed"/>
        <w:tblCellMar>
          <w:top w:w="28" w:type="dxa"/>
          <w:left w:w="28" w:type="dxa"/>
          <w:bottom w:w="28" w:type="dxa"/>
          <w:right w:w="28" w:type="dxa"/>
        </w:tblCellMar>
      </w:tblPr>
      <w:tblGrid>
        <w:gridCol w:w="2987"/>
        <w:gridCol w:w="2627"/>
        <w:gridCol w:w="2636"/>
        <w:gridCol w:w="109"/>
        <w:gridCol w:w="109"/>
        <w:gridCol w:w="154"/>
      </w:tblGrid>
      <w:tr>
        <w:trPr/>
        <w:tc>
          <w:tcPr>
            <w:tcW w:w="2987" w:type="dxa"/>
            <w:tcBorders/>
            <w:vAlign w:val="center"/>
          </w:tcPr>
          <w:p>
            <w:pPr>
              <w:pStyle w:val="TableContents"/>
              <w:bidi w:val="0"/>
              <w:spacing w:before="0" w:after="283"/>
              <w:jc w:val="left"/>
              <w:rPr>
                <w:sz w:val="4"/>
                <w:szCs w:val="4"/>
              </w:rPr>
            </w:pPr>
            <w:r>
              <w:rPr>
                <w:sz w:val="4"/>
                <w:szCs w:val="4"/>
              </w:rPr>
            </w:r>
          </w:p>
        </w:tc>
        <w:tc>
          <w:tcPr>
            <w:tcW w:w="2627"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4955b7c99bb45f8b6f31f22ad1f940a_10">
              <w:r>
                <w:rPr>
                  <w:rStyle w:val="InternetLink"/>
                  <w:rFonts w:ascii="Arial;sans-serif" w:hAnsi="Arial;sans-serif"/>
                  <w:b w:val="false"/>
                  <w:color w:val="0000FF"/>
                  <w:sz w:val="20"/>
                  <w:u w:val="single"/>
                </w:rPr>
                <w:t>PART I - FINANCIAL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4955b7c99bb45f8b6f31f22ad1f940a_10">
              <w:r>
                <w:rPr>
                  <w:rStyle w:val="InternetLink"/>
                  <w:rFonts w:ascii="Arial;sans-serif" w:hAnsi="Arial;sans-serif"/>
                  <w:b w:val="false"/>
                  <w:color w:val="0000FF"/>
                  <w:sz w:val="20"/>
                  <w:u w:val="single"/>
                </w:rPr>
                <w:t>4</w:t>
              </w:r>
            </w:hyperlink>
          </w:p>
        </w:tc>
      </w:tr>
      <w:tr>
        <w:trPr/>
        <w:tc>
          <w:tcPr>
            <w:tcW w:w="8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4955b7c99bb45f8b6f31f22ad1f940a_13">
              <w:r>
                <w:rPr>
                  <w:rStyle w:val="InternetLink"/>
                  <w:rFonts w:ascii="Arial;sans-serif" w:hAnsi="Arial;sans-serif"/>
                  <w:b w:val="false"/>
                  <w:color w:val="0000FF"/>
                  <w:sz w:val="20"/>
                  <w:u w:val="single"/>
                </w:rPr>
                <w:t>Item 1. Financial Statements (Unaudited)</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4955b7c99bb45f8b6f31f22ad1f940a_13">
              <w:r>
                <w:rPr>
                  <w:rStyle w:val="InternetLink"/>
                  <w:rFonts w:ascii="Arial;sans-serif" w:hAnsi="Arial;sans-serif"/>
                  <w:b w:val="false"/>
                  <w:color w:val="0000FF"/>
                  <w:sz w:val="20"/>
                  <w:u w:val="single"/>
                </w:rPr>
                <w:t>4</w:t>
              </w:r>
            </w:hyperlink>
          </w:p>
        </w:tc>
      </w:tr>
      <w:tr>
        <w:trPr/>
        <w:tc>
          <w:tcPr>
            <w:tcW w:w="8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4955b7c99bb45f8b6f31f22ad1f940a_16">
              <w:r>
                <w:rPr>
                  <w:rStyle w:val="InternetLink"/>
                  <w:rFonts w:ascii="Arial;sans-serif" w:hAnsi="Arial;sans-serif"/>
                  <w:b w:val="false"/>
                  <w:color w:val="0000FF"/>
                  <w:sz w:val="20"/>
                  <w:u w:val="single"/>
                </w:rPr>
                <w:t>Condensed consolidated statements of comprehensive income</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4955b7c99bb45f8b6f31f22ad1f940a_16">
              <w:r>
                <w:rPr>
                  <w:rStyle w:val="InternetLink"/>
                  <w:rFonts w:ascii="Arial;sans-serif" w:hAnsi="Arial;sans-serif"/>
                  <w:b w:val="false"/>
                  <w:color w:val="0000FF"/>
                  <w:sz w:val="20"/>
                  <w:u w:val="single"/>
                </w:rPr>
                <w:t>4</w:t>
              </w:r>
            </w:hyperlink>
          </w:p>
        </w:tc>
      </w:tr>
      <w:tr>
        <w:trPr/>
        <w:tc>
          <w:tcPr>
            <w:tcW w:w="8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4955b7c99bb45f8b6f31f22ad1f940a_19">
              <w:r>
                <w:rPr>
                  <w:rStyle w:val="InternetLink"/>
                  <w:rFonts w:ascii="Arial;sans-serif" w:hAnsi="Arial;sans-serif"/>
                  <w:b w:val="false"/>
                  <w:color w:val="0000FF"/>
                  <w:sz w:val="20"/>
                  <w:u w:val="single"/>
                </w:rPr>
                <w:t>Condensed consolidated balance sheets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4955b7c99bb45f8b6f31f22ad1f940a_19">
              <w:r>
                <w:rPr>
                  <w:rStyle w:val="InternetLink"/>
                  <w:rFonts w:ascii="Arial;sans-serif" w:hAnsi="Arial;sans-serif"/>
                  <w:b w:val="false"/>
                  <w:color w:val="0000FF"/>
                  <w:sz w:val="20"/>
                  <w:u w:val="single"/>
                </w:rPr>
                <w:t>5</w:t>
              </w:r>
            </w:hyperlink>
          </w:p>
        </w:tc>
      </w:tr>
      <w:tr>
        <w:trPr/>
        <w:tc>
          <w:tcPr>
            <w:tcW w:w="8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4955b7c99bb45f8b6f31f22ad1f940a_22">
              <w:r>
                <w:rPr>
                  <w:rStyle w:val="InternetLink"/>
                  <w:rFonts w:ascii="Arial;sans-serif" w:hAnsi="Arial;sans-serif"/>
                  <w:b w:val="false"/>
                  <w:color w:val="0000FF"/>
                  <w:sz w:val="20"/>
                  <w:u w:val="single"/>
                </w:rPr>
                <w:t>Condensed consolidated statements of cash flows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4955b7c99bb45f8b6f31f22ad1f940a_22">
              <w:r>
                <w:rPr>
                  <w:rStyle w:val="InternetLink"/>
                  <w:rFonts w:ascii="Arial;sans-serif" w:hAnsi="Arial;sans-serif"/>
                  <w:b w:val="false"/>
                  <w:color w:val="0000FF"/>
                  <w:sz w:val="20"/>
                  <w:u w:val="single"/>
                </w:rPr>
                <w:t>6</w:t>
              </w:r>
            </w:hyperlink>
          </w:p>
        </w:tc>
      </w:tr>
      <w:tr>
        <w:trPr/>
        <w:tc>
          <w:tcPr>
            <w:tcW w:w="8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4955b7c99bb45f8b6f31f22ad1f940a_25">
              <w:r>
                <w:rPr>
                  <w:rStyle w:val="InternetLink"/>
                  <w:rFonts w:ascii="Arial;sans-serif" w:hAnsi="Arial;sans-serif"/>
                  <w:b w:val="false"/>
                  <w:color w:val="0000FF"/>
                  <w:sz w:val="20"/>
                  <w:u w:val="single"/>
                </w:rPr>
                <w:t xml:space="preserve">Condensed consolidated statements of changes in stockholders’ equity </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4955b7c99bb45f8b6f31f22ad1f940a_25">
              <w:r>
                <w:rPr>
                  <w:rStyle w:val="InternetLink"/>
                  <w:rFonts w:ascii="Arial;sans-serif" w:hAnsi="Arial;sans-serif"/>
                  <w:b w:val="false"/>
                  <w:color w:val="0000FF"/>
                  <w:sz w:val="20"/>
                  <w:u w:val="single"/>
                </w:rPr>
                <w:t>7</w:t>
              </w:r>
            </w:hyperlink>
          </w:p>
        </w:tc>
      </w:tr>
      <w:tr>
        <w:trPr/>
        <w:tc>
          <w:tcPr>
            <w:tcW w:w="8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4955b7c99bb45f8b6f31f22ad1f940a_28">
              <w:r>
                <w:rPr>
                  <w:rStyle w:val="InternetLink"/>
                  <w:rFonts w:ascii="Arial;sans-serif" w:hAnsi="Arial;sans-serif"/>
                  <w:b w:val="false"/>
                  <w:color w:val="0000FF"/>
                  <w:sz w:val="20"/>
                  <w:u w:val="single"/>
                </w:rPr>
                <w:t>Notes to condensed consolidated financial statements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4955b7c99bb45f8b6f31f22ad1f940a_28">
              <w:r>
                <w:rPr>
                  <w:rStyle w:val="InternetLink"/>
                  <w:rFonts w:ascii="Arial;sans-serif" w:hAnsi="Arial;sans-serif"/>
                  <w:b w:val="false"/>
                  <w:color w:val="0000FF"/>
                  <w:sz w:val="20"/>
                  <w:u w:val="single"/>
                </w:rPr>
                <w:t>9</w:t>
              </w:r>
            </w:hyperlink>
          </w:p>
        </w:tc>
      </w:tr>
      <w:tr>
        <w:trPr/>
        <w:tc>
          <w:tcPr>
            <w:tcW w:w="8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4955b7c99bb45f8b6f31f22ad1f940a_82">
              <w:r>
                <w:rPr>
                  <w:rStyle w:val="InternetLink"/>
                  <w:rFonts w:ascii="Arial;sans-serif" w:hAnsi="Arial;sans-serif"/>
                  <w:b w:val="false"/>
                  <w:color w:val="0000FF"/>
                  <w:sz w:val="20"/>
                  <w:u w:val="single"/>
                </w:rPr>
                <w:t>Item 2. Management's discussion and analysis of financial condition and results of operations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4955b7c99bb45f8b6f31f22ad1f940a_82">
              <w:r>
                <w:rPr>
                  <w:rStyle w:val="InternetLink"/>
                  <w:rFonts w:ascii="Arial;sans-serif" w:hAnsi="Arial;sans-serif"/>
                  <w:b w:val="false"/>
                  <w:color w:val="0000FF"/>
                  <w:sz w:val="20"/>
                  <w:u w:val="single"/>
                </w:rPr>
                <w:t>19</w:t>
              </w:r>
            </w:hyperlink>
          </w:p>
        </w:tc>
      </w:tr>
      <w:tr>
        <w:trPr/>
        <w:tc>
          <w:tcPr>
            <w:tcW w:w="8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4955b7c99bb45f8b6f31f22ad1f940a_97">
              <w:r>
                <w:rPr>
                  <w:rStyle w:val="InternetLink"/>
                  <w:rFonts w:ascii="Arial;sans-serif" w:hAnsi="Arial;sans-serif"/>
                  <w:b w:val="false"/>
                  <w:color w:val="0000FF"/>
                  <w:sz w:val="20"/>
                  <w:u w:val="single"/>
                </w:rPr>
                <w:t>Item 3. Quantitative and qualitative disclosures about market risk</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4955b7c99bb45f8b6f31f22ad1f940a_97">
              <w:r>
                <w:rPr>
                  <w:rStyle w:val="InternetLink"/>
                  <w:rFonts w:ascii="Arial;sans-serif" w:hAnsi="Arial;sans-serif"/>
                  <w:b w:val="false"/>
                  <w:color w:val="0000FF"/>
                  <w:sz w:val="20"/>
                  <w:u w:val="single"/>
                </w:rPr>
                <w:t>29</w:t>
              </w:r>
            </w:hyperlink>
          </w:p>
        </w:tc>
      </w:tr>
      <w:tr>
        <w:trPr/>
        <w:tc>
          <w:tcPr>
            <w:tcW w:w="8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4955b7c99bb45f8b6f31f22ad1f940a_100">
              <w:r>
                <w:rPr>
                  <w:rStyle w:val="InternetLink"/>
                  <w:rFonts w:ascii="Arial;sans-serif" w:hAnsi="Arial;sans-serif"/>
                  <w:b w:val="false"/>
                  <w:color w:val="0000FF"/>
                  <w:sz w:val="20"/>
                  <w:u w:val="single"/>
                </w:rPr>
                <w:t>Item 4. Controls and procedures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4955b7c99bb45f8b6f31f22ad1f940a_100">
              <w:r>
                <w:rPr>
                  <w:rStyle w:val="InternetLink"/>
                  <w:rFonts w:ascii="Arial;sans-serif" w:hAnsi="Arial;sans-serif"/>
                  <w:b w:val="false"/>
                  <w:color w:val="0000FF"/>
                  <w:sz w:val="20"/>
                  <w:u w:val="single"/>
                </w:rPr>
                <w:t>29</w:t>
              </w:r>
            </w:hyperlink>
          </w:p>
        </w:tc>
      </w:tr>
      <w:tr>
        <w:trPr/>
        <w:tc>
          <w:tcPr>
            <w:tcW w:w="8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4955b7c99bb45f8b6f31f22ad1f940a_103">
              <w:r>
                <w:rPr>
                  <w:rStyle w:val="InternetLink"/>
                  <w:rFonts w:ascii="Arial;sans-serif" w:hAnsi="Arial;sans-serif"/>
                  <w:b w:val="false"/>
                  <w:color w:val="0000FF"/>
                  <w:sz w:val="20"/>
                  <w:u w:val="single"/>
                </w:rPr>
                <w:t>PART II - OTHER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4955b7c99bb45f8b6f31f22ad1f940a_103">
              <w:r>
                <w:rPr>
                  <w:rStyle w:val="InternetLink"/>
                  <w:rFonts w:ascii="Arial;sans-serif" w:hAnsi="Arial;sans-serif"/>
                  <w:b w:val="false"/>
                  <w:color w:val="0000FF"/>
                  <w:sz w:val="20"/>
                  <w:u w:val="single"/>
                </w:rPr>
                <w:t>30</w:t>
              </w:r>
            </w:hyperlink>
          </w:p>
        </w:tc>
      </w:tr>
      <w:tr>
        <w:trPr/>
        <w:tc>
          <w:tcPr>
            <w:tcW w:w="8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4955b7c99bb45f8b6f31f22ad1f940a_106">
              <w:r>
                <w:rPr>
                  <w:rStyle w:val="InternetLink"/>
                  <w:rFonts w:ascii="Arial;sans-serif" w:hAnsi="Arial;sans-serif"/>
                  <w:b w:val="false"/>
                  <w:color w:val="0000FF"/>
                  <w:sz w:val="20"/>
                  <w:u w:val="single"/>
                </w:rPr>
                <w:t>Item 1. Legal proceedings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4955b7c99bb45f8b6f31f22ad1f940a_106">
              <w:r>
                <w:rPr>
                  <w:rStyle w:val="InternetLink"/>
                  <w:rFonts w:ascii="Arial;sans-serif" w:hAnsi="Arial;sans-serif"/>
                  <w:b w:val="false"/>
                  <w:color w:val="0000FF"/>
                  <w:sz w:val="20"/>
                  <w:u w:val="single"/>
                </w:rPr>
                <w:t>30</w:t>
              </w:r>
            </w:hyperlink>
          </w:p>
        </w:tc>
      </w:tr>
      <w:tr>
        <w:trPr/>
        <w:tc>
          <w:tcPr>
            <w:tcW w:w="8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4955b7c99bb45f8b6f31f22ad1f940a_109">
              <w:r>
                <w:rPr>
                  <w:rStyle w:val="InternetLink"/>
                  <w:rFonts w:ascii="Arial;sans-serif" w:hAnsi="Arial;sans-serif"/>
                  <w:b w:val="false"/>
                  <w:color w:val="0000FF"/>
                  <w:sz w:val="20"/>
                  <w:u w:val="single"/>
                </w:rPr>
                <w:t>Item 1A. Risk factors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4955b7c99bb45f8b6f31f22ad1f940a_109">
              <w:r>
                <w:rPr>
                  <w:rStyle w:val="InternetLink"/>
                  <w:rFonts w:ascii="Arial;sans-serif" w:hAnsi="Arial;sans-serif"/>
                  <w:b w:val="false"/>
                  <w:color w:val="0000FF"/>
                  <w:sz w:val="20"/>
                  <w:u w:val="single"/>
                </w:rPr>
                <w:t>30</w:t>
              </w:r>
            </w:hyperlink>
          </w:p>
        </w:tc>
      </w:tr>
      <w:tr>
        <w:trPr/>
        <w:tc>
          <w:tcPr>
            <w:tcW w:w="8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4955b7c99bb45f8b6f31f22ad1f940a_112">
              <w:r>
                <w:rPr>
                  <w:rStyle w:val="InternetLink"/>
                  <w:rFonts w:ascii="Arial;sans-serif" w:hAnsi="Arial;sans-serif"/>
                  <w:b w:val="false"/>
                  <w:color w:val="0000FF"/>
                  <w:sz w:val="20"/>
                  <w:u w:val="single"/>
                </w:rPr>
                <w:t>Item 2. Unregistered sales of equity securities and use of proceeds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4955b7c99bb45f8b6f31f22ad1f940a_112">
              <w:r>
                <w:rPr>
                  <w:rStyle w:val="InternetLink"/>
                  <w:rFonts w:ascii="Arial;sans-serif" w:hAnsi="Arial;sans-serif"/>
                  <w:b w:val="false"/>
                  <w:color w:val="0000FF"/>
                  <w:sz w:val="20"/>
                  <w:u w:val="single"/>
                </w:rPr>
                <w:t>30</w:t>
              </w:r>
            </w:hyperlink>
          </w:p>
        </w:tc>
      </w:tr>
      <w:tr>
        <w:trPr/>
        <w:tc>
          <w:tcPr>
            <w:tcW w:w="8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4955b7c99bb45f8b6f31f22ad1f940a_115">
              <w:r>
                <w:rPr>
                  <w:rStyle w:val="InternetLink"/>
                  <w:rFonts w:ascii="Arial;sans-serif" w:hAnsi="Arial;sans-serif"/>
                  <w:b w:val="false"/>
                  <w:color w:val="0000FF"/>
                  <w:sz w:val="20"/>
                  <w:u w:val="single"/>
                </w:rPr>
                <w:t>Item 3. Defaults Upon Senior Securities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4955b7c99bb45f8b6f31f22ad1f940a_115">
              <w:r>
                <w:rPr>
                  <w:rStyle w:val="InternetLink"/>
                  <w:rFonts w:ascii="Arial;sans-serif" w:hAnsi="Arial;sans-serif"/>
                  <w:b w:val="false"/>
                  <w:color w:val="0000FF"/>
                  <w:sz w:val="20"/>
                  <w:u w:val="single"/>
                </w:rPr>
                <w:t>30</w:t>
              </w:r>
            </w:hyperlink>
          </w:p>
        </w:tc>
      </w:tr>
      <w:tr>
        <w:trPr/>
        <w:tc>
          <w:tcPr>
            <w:tcW w:w="8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4955b7c99bb45f8b6f31f22ad1f940a_118">
              <w:r>
                <w:rPr>
                  <w:rStyle w:val="InternetLink"/>
                  <w:rFonts w:ascii="Arial;sans-serif" w:hAnsi="Arial;sans-serif"/>
                  <w:b w:val="false"/>
                  <w:color w:val="0000FF"/>
                  <w:sz w:val="20"/>
                  <w:u w:val="single"/>
                </w:rPr>
                <w:t>Item 4. Mine Safety Disclosures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4955b7c99bb45f8b6f31f22ad1f940a_118">
              <w:r>
                <w:rPr>
                  <w:rStyle w:val="InternetLink"/>
                  <w:rFonts w:ascii="Arial;sans-serif" w:hAnsi="Arial;sans-serif"/>
                  <w:b w:val="false"/>
                  <w:color w:val="0000FF"/>
                  <w:sz w:val="20"/>
                  <w:u w:val="single"/>
                </w:rPr>
                <w:t>30</w:t>
              </w:r>
            </w:hyperlink>
          </w:p>
        </w:tc>
      </w:tr>
      <w:tr>
        <w:trPr/>
        <w:tc>
          <w:tcPr>
            <w:tcW w:w="8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4955b7c99bb45f8b6f31f22ad1f940a_121">
              <w:r>
                <w:rPr>
                  <w:rStyle w:val="InternetLink"/>
                  <w:rFonts w:ascii="Arial;sans-serif" w:hAnsi="Arial;sans-serif"/>
                  <w:b w:val="false"/>
                  <w:color w:val="0000FF"/>
                  <w:sz w:val="20"/>
                  <w:u w:val="single"/>
                </w:rPr>
                <w:t>Item 5. Other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4955b7c99bb45f8b6f31f22ad1f940a_121">
              <w:r>
                <w:rPr>
                  <w:rStyle w:val="InternetLink"/>
                  <w:rFonts w:ascii="Arial;sans-serif" w:hAnsi="Arial;sans-serif"/>
                  <w:b w:val="false"/>
                  <w:color w:val="0000FF"/>
                  <w:sz w:val="20"/>
                  <w:u w:val="single"/>
                </w:rPr>
                <w:t>30</w:t>
              </w:r>
            </w:hyperlink>
          </w:p>
        </w:tc>
      </w:tr>
      <w:tr>
        <w:trPr/>
        <w:tc>
          <w:tcPr>
            <w:tcW w:w="8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4955b7c99bb45f8b6f31f22ad1f940a_127">
              <w:r>
                <w:rPr>
                  <w:rStyle w:val="InternetLink"/>
                  <w:rFonts w:ascii="Arial;sans-serif" w:hAnsi="Arial;sans-serif"/>
                  <w:b w:val="false"/>
                  <w:color w:val="0000FF"/>
                  <w:sz w:val="20"/>
                  <w:u w:val="single"/>
                </w:rPr>
                <w:t>Item 6. Exhibits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4955b7c99bb45f8b6f31f22ad1f940a_127">
              <w:r>
                <w:rPr>
                  <w:rStyle w:val="InternetLink"/>
                  <w:rFonts w:ascii="Arial;sans-serif" w:hAnsi="Arial;sans-serif"/>
                  <w:b w:val="false"/>
                  <w:color w:val="0000FF"/>
                  <w:sz w:val="20"/>
                  <w:u w:val="single"/>
                </w:rPr>
                <w:t>31</w:t>
              </w:r>
            </w:hyperlink>
          </w:p>
        </w:tc>
      </w:tr>
      <w:tr>
        <w:trPr/>
        <w:tc>
          <w:tcPr>
            <w:tcW w:w="8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4955b7c99bb45f8b6f31f22ad1f940a_130">
              <w:r>
                <w:rPr>
                  <w:rStyle w:val="InternetLink"/>
                  <w:rFonts w:ascii="Arial;sans-serif" w:hAnsi="Arial;sans-serif"/>
                  <w:b w:val="false"/>
                  <w:color w:val="0000FF"/>
                  <w:sz w:val="20"/>
                  <w:u w:val="single"/>
                </w:rPr>
                <w:t>SIGNATURES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4955b7c99bb45f8b6f31f22ad1f940a_130">
              <w:r>
                <w:rPr>
                  <w:rStyle w:val="InternetLink"/>
                  <w:rFonts w:ascii="Arial;sans-serif" w:hAnsi="Arial;sans-serif"/>
                  <w:b w:val="false"/>
                  <w:color w:val="0000FF"/>
                  <w:sz w:val="20"/>
                  <w:u w:val="single"/>
                </w:rPr>
                <w:t>32</w:t>
              </w:r>
            </w:hyperlink>
          </w:p>
        </w:tc>
      </w:tr>
    </w:tbl>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31445"/>
                <wp:effectExtent l="0" t="0" r="0" b="0"/>
                <wp:wrapNone/>
                <wp:docPr id="2" name="Frame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Arial;sans-serif" w:hAnsi="Arial;sans-serif"/>
          <w:b/>
          <w:color w:val="000000"/>
          <w:sz w:val="20"/>
        </w:rPr>
      </w:pPr>
      <w:r>
        <w:rPr>
          <w:rFonts w:ascii="Arial;sans-serif" w:hAnsi="Arial;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Forum Energy Technologies, Inc.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Statements of Comprehensive Income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(Unaudited)</w:t>
      </w:r>
    </w:p>
    <w:tbl>
      <w:tblPr>
        <w:tblW w:w="10127" w:type="dxa"/>
        <w:jc w:val="center"/>
        <w:tblInd w:w="0" w:type="dxa"/>
        <w:tblLayout w:type="fixed"/>
        <w:tblCellMar>
          <w:top w:w="28" w:type="dxa"/>
          <w:left w:w="28" w:type="dxa"/>
          <w:bottom w:w="28" w:type="dxa"/>
          <w:right w:w="28" w:type="dxa"/>
        </w:tblCellMar>
      </w:tblPr>
      <w:tblGrid>
        <w:gridCol w:w="1519"/>
        <w:gridCol w:w="1336"/>
        <w:gridCol w:w="1344"/>
        <w:gridCol w:w="226"/>
        <w:gridCol w:w="920"/>
        <w:gridCol w:w="117"/>
        <w:gridCol w:w="117"/>
        <w:gridCol w:w="117"/>
        <w:gridCol w:w="117"/>
        <w:gridCol w:w="226"/>
        <w:gridCol w:w="920"/>
        <w:gridCol w:w="117"/>
        <w:gridCol w:w="109"/>
        <w:gridCol w:w="109"/>
        <w:gridCol w:w="109"/>
        <w:gridCol w:w="211"/>
        <w:gridCol w:w="856"/>
        <w:gridCol w:w="109"/>
        <w:gridCol w:w="109"/>
        <w:gridCol w:w="109"/>
        <w:gridCol w:w="109"/>
        <w:gridCol w:w="211"/>
        <w:gridCol w:w="856"/>
        <w:gridCol w:w="154"/>
      </w:tblGrid>
      <w:tr>
        <w:trPr/>
        <w:tc>
          <w:tcPr>
            <w:tcW w:w="151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7"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 thousands, except per share information)</w:t>
            </w:r>
          </w:p>
        </w:tc>
        <w:tc>
          <w:tcPr>
            <w:tcW w:w="12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1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226,217 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199,764 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434,917 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393,043 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sales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154,865 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140,408 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1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71,352 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59,356 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132,343 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117,717 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12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50,260 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51,185 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100,568 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Transaction expenses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sale-leaseback transactions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disposal of assets and other</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1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50,845 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44,673 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100,831 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94,230 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w:t>
            </w:r>
          </w:p>
        </w:tc>
        <w:tc>
          <w:tcPr>
            <w:tcW w:w="11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20,507 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14,683 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23,487 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expense (income)</w:t>
            </w:r>
          </w:p>
        </w:tc>
        <w:tc>
          <w:tcPr>
            <w:tcW w:w="12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exchange losses (gains) and other, net</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expense</w:t>
            </w:r>
          </w:p>
        </w:tc>
        <w:tc>
          <w:tcPr>
            <w:tcW w:w="11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4,498 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764 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before taxes</w:t>
            </w:r>
          </w:p>
        </w:tc>
        <w:tc>
          <w:tcPr>
            <w:tcW w:w="11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16,009 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13,919 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18,808 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6,219 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12,407 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7,700 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8,822 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Weighted average shares outstanding</w:t>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11,290 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11,773 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12,554 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Earnings per share</w:t>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comprehensive income, net of tax</w:t>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12,407 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foreign currency translation</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(loss) on pension liability</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Comprehensive income</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9,481 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16,704 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18,346 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i/>
          <w:color w:val="000000"/>
          <w:sz w:val="16"/>
        </w:rPr>
      </w:pPr>
      <w:r>
        <w:rPr>
          <w:rFonts w:ascii="Arial;sans-serif" w:hAnsi="Arial;sans-serif"/>
          <w:b w:val="false"/>
          <w:i/>
          <w:color w:val="000000"/>
          <w:sz w:val="16"/>
        </w:rPr>
        <w:t>The accompanying notes are an integral part of these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Forum Energy Technologies,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Balance Sheets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(Unaudited)</w:t>
      </w:r>
    </w:p>
    <w:tbl>
      <w:tblPr>
        <w:tblW w:w="10205" w:type="dxa"/>
        <w:jc w:val="center"/>
        <w:tblInd w:w="0" w:type="dxa"/>
        <w:tblLayout w:type="fixed"/>
        <w:tblCellMar>
          <w:top w:w="28" w:type="dxa"/>
          <w:left w:w="28" w:type="dxa"/>
          <w:bottom w:w="28" w:type="dxa"/>
          <w:right w:w="28" w:type="dxa"/>
        </w:tblCellMar>
      </w:tblPr>
      <w:tblGrid>
        <w:gridCol w:w="2573"/>
        <w:gridCol w:w="2154"/>
        <w:gridCol w:w="2161"/>
        <w:gridCol w:w="234"/>
        <w:gridCol w:w="951"/>
        <w:gridCol w:w="120"/>
        <w:gridCol w:w="109"/>
        <w:gridCol w:w="109"/>
        <w:gridCol w:w="109"/>
        <w:gridCol w:w="290"/>
        <w:gridCol w:w="1179"/>
        <w:gridCol w:w="216"/>
      </w:tblGrid>
      <w:tr>
        <w:trPr/>
        <w:tc>
          <w:tcPr>
            <w:tcW w:w="2573"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688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 thousands, except share information)</w:t>
            </w:r>
          </w:p>
        </w:tc>
        <w:tc>
          <w:tcPr>
            <w:tcW w:w="130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68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33,716 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34,661 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Accounts receivable—trade, net of allowances of $10,978 and $8,953</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173,963 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142,396 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 net</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233,473 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239,420 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26,094 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23,017 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and estimated profits in excess of billings</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16,206 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9,369 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revenue</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1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483,522 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448,884 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 of accumulated depreciation</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47,962 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51,905 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assets</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80,798 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80,733 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financing costs, net</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62,547 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64,667 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82,058 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93,637 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 net</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7,878 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assets</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770,710 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752,455 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equity</w:t>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long-term debt</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payable—trade</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118,802 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94,561 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liabilities</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67,492 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76,244 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15,325 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17,438 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Billings in excess of costs and profits recognized</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17,669 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16,884 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1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220,561 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206,534 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net of current portion</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142,435 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134,521 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 net</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18,222 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20,425 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83,803 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83,957 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15,875 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11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480,928 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461,312 </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Commitments and contingencies</w:t>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Equity</w:t>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$0.01 par value, 29,600,000 shares authorized, 13,507,226 and 13,192,818 shares issued</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1,423,448 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1,427,589 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Treasury stock at cost, 2,244,808 and 2,095,969 shares</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(184,236)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(176,669)</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deficit</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(827,558)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(844,457)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(122,007)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(115,452)</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equity</w:t>
            </w:r>
          </w:p>
        </w:tc>
        <w:tc>
          <w:tcPr>
            <w:tcW w:w="11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289,782 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291,143 </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equity</w:t>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770,710 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752,455 </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i/>
          <w:color w:val="000000"/>
          <w:sz w:val="16"/>
        </w:rPr>
      </w:pPr>
      <w:r>
        <w:rPr>
          <w:rFonts w:ascii="Arial;sans-serif" w:hAnsi="Arial;sans-serif"/>
          <w:b w:val="false"/>
          <w:i/>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Forum Energy Technologies,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(Unaudited)</w:t>
      </w:r>
    </w:p>
    <w:tbl>
      <w:tblPr>
        <w:tblW w:w="8232" w:type="dxa"/>
        <w:jc w:val="center"/>
        <w:tblInd w:w="0" w:type="dxa"/>
        <w:tblLayout w:type="fixed"/>
        <w:tblCellMar>
          <w:top w:w="28" w:type="dxa"/>
          <w:left w:w="28" w:type="dxa"/>
          <w:bottom w:w="28" w:type="dxa"/>
          <w:right w:w="28" w:type="dxa"/>
        </w:tblCellMar>
      </w:tblPr>
      <w:tblGrid>
        <w:gridCol w:w="2153"/>
        <w:gridCol w:w="1888"/>
        <w:gridCol w:w="1898"/>
        <w:gridCol w:w="197"/>
        <w:gridCol w:w="652"/>
        <w:gridCol w:w="110"/>
        <w:gridCol w:w="110"/>
        <w:gridCol w:w="110"/>
        <w:gridCol w:w="110"/>
        <w:gridCol w:w="197"/>
        <w:gridCol w:w="652"/>
        <w:gridCol w:w="155"/>
      </w:tblGrid>
      <w:tr>
        <w:trPr/>
        <w:tc>
          <w:tcPr>
            <w:tcW w:w="2153"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 June 30,</w:t>
            </w:r>
          </w:p>
        </w:tc>
      </w:tr>
      <w:tr>
        <w:trPr/>
        <w:tc>
          <w:tcPr>
            <w:tcW w:w="5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 thousands)</w:t>
            </w:r>
          </w:p>
        </w:tc>
        <w:tc>
          <w:tcPr>
            <w:tcW w:w="9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r>
      <w:tr>
        <w:trPr/>
        <w:tc>
          <w:tcPr>
            <w:tcW w:w="59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Cash flows from operating activities</w:t>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income</w:t>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16,899 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8,822 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Adjustments to reconcile net income to net cash provided by operating activities:</w:t>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Depreciation expense</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of intangible assets</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9,214 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10,748 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Inventory write-down</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5,897 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Stock-based compensation expense</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5,136 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Deferred income taxes</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(1,731)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(3,670)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Gain on sale-leaseback transactions</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(6,903)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3,899 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Changes in operating assets and liabilities</w:t>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Accounts receivable—trade</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(35,300)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Inventories</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(1,340)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9,995 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Prepaid expenses and other current assets</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(3,267)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Cost and estimated profit in excess of billings</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(7,040)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(2,444)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Accounts payable, deferred revenue and other accrued liabilities</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14,718 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(15,060)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Billings in excess of costs and profits recognized</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851 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7,018 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cash provided by operating activities</w:t>
            </w:r>
          </w:p>
        </w:tc>
        <w:tc>
          <w:tcPr>
            <w:tcW w:w="8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14,056 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25,099 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Cash flows from investing activities</w:t>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Capital expenditures for property and equipment</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(3,189)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(3,061)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Proceeds from sale of property and equipment</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Proceeds from sale-leaseback transactions</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8,028 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cash provided by (used in) investing activities</w:t>
            </w:r>
          </w:p>
        </w:tc>
        <w:tc>
          <w:tcPr>
            <w:tcW w:w="8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(3,030)</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5,024 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Cash flows from financing activities</w:t>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Borrowings on Credit Facility</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265,195 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271,326 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Repayments on Credit Facility</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(257,447)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(299,360)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Payment of capital lease obligations</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(819)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Deferred financing costs</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(1,659)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(914)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Repurchases of stock</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(7,567)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(6,295)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Payment of withheld taxes on stock-based compensation plans</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(9,274)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(1,321)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cash used in financing activities</w:t>
            </w:r>
          </w:p>
        </w:tc>
        <w:tc>
          <w:tcPr>
            <w:tcW w:w="8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(11,571)</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(37,296)</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Effect of exchange rate changes on cash</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decrease in cash and cash equivalents</w:t>
            </w:r>
          </w:p>
        </w:tc>
        <w:tc>
          <w:tcPr>
            <w:tcW w:w="8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(945)</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(5,694)</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Cash and cash equivalents at beginning of period</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34,661 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44,661 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Cash and cash equivalents at end of period</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33,716 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38,967 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Supplemental cash flow disclosures</w:t>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Cash paid for interest</w:t>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7,586 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9,025 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Cash paid for income taxes</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12,664 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11,321 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7"/>
              </w:rPr>
            </w:pPr>
            <w:r>
              <w:rPr>
                <w:rFonts w:ascii="Arial;sans-serif" w:hAnsi="Arial;sans-serif"/>
                <w:b/>
                <w:color w:val="000000"/>
                <w:sz w:val="17"/>
              </w:rPr>
              <w:t>Noncash activities</w:t>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Operating lease assets obtained in exchange for lease obligations</w:t>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5,837 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12,230 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Finance lease assets obtained in exchange for lease obligations</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Accrued purchases of property and equipment</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i/>
          <w:color w:val="000000"/>
          <w:sz w:val="16"/>
        </w:rPr>
      </w:pPr>
      <w:r>
        <w:rPr>
          <w:rFonts w:ascii="Arial;sans-serif" w:hAnsi="Arial;sans-serif"/>
          <w:b w:val="false"/>
          <w:i/>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Forum Energy Technologies, Inc.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Statements of Changes in Stockholders’ Equity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(Unaudited)</w:t>
      </w:r>
    </w:p>
    <w:tbl>
      <w:tblPr>
        <w:tblW w:w="10214" w:type="dxa"/>
        <w:jc w:val="center"/>
        <w:tblInd w:w="0" w:type="dxa"/>
        <w:tblLayout w:type="fixed"/>
        <w:tblCellMar>
          <w:top w:w="28" w:type="dxa"/>
          <w:left w:w="28" w:type="dxa"/>
          <w:bottom w:w="28" w:type="dxa"/>
          <w:right w:w="28" w:type="dxa"/>
        </w:tblCellMar>
      </w:tblPr>
      <w:tblGrid>
        <w:gridCol w:w="576"/>
        <w:gridCol w:w="282"/>
        <w:gridCol w:w="283"/>
        <w:gridCol w:w="109"/>
        <w:gridCol w:w="109"/>
        <w:gridCol w:w="109"/>
        <w:gridCol w:w="222"/>
        <w:gridCol w:w="494"/>
        <w:gridCol w:w="125"/>
        <w:gridCol w:w="109"/>
        <w:gridCol w:w="109"/>
        <w:gridCol w:w="109"/>
        <w:gridCol w:w="196"/>
        <w:gridCol w:w="886"/>
        <w:gridCol w:w="109"/>
        <w:gridCol w:w="109"/>
        <w:gridCol w:w="109"/>
        <w:gridCol w:w="109"/>
        <w:gridCol w:w="196"/>
        <w:gridCol w:w="751"/>
        <w:gridCol w:w="109"/>
        <w:gridCol w:w="109"/>
        <w:gridCol w:w="109"/>
        <w:gridCol w:w="109"/>
        <w:gridCol w:w="196"/>
        <w:gridCol w:w="751"/>
        <w:gridCol w:w="109"/>
        <w:gridCol w:w="109"/>
        <w:gridCol w:w="109"/>
        <w:gridCol w:w="109"/>
        <w:gridCol w:w="245"/>
        <w:gridCol w:w="939"/>
        <w:gridCol w:w="137"/>
        <w:gridCol w:w="109"/>
        <w:gridCol w:w="109"/>
        <w:gridCol w:w="109"/>
        <w:gridCol w:w="196"/>
        <w:gridCol w:w="751"/>
        <w:gridCol w:w="109"/>
        <w:gridCol w:w="109"/>
        <w:gridCol w:w="109"/>
        <w:gridCol w:w="109"/>
        <w:gridCol w:w="109"/>
        <w:gridCol w:w="154"/>
      </w:tblGrid>
      <w:tr>
        <w:trPr/>
        <w:tc>
          <w:tcPr>
            <w:tcW w:w="57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24" w:type="dxa"/>
            <w:gridSpan w:val="3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 thousands)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w:t>
              <w:br/>
              <w:t>deficit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other</w:t>
              <w:br/>
              <w:t>comprehensive</w:t>
              <w:br/>
              <w:t>income (loss)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Balance at December 31,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4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132</w:t>
            </w:r>
            <w:r>
              <w:rPr>
                <w:color w:val="000000"/>
              </w:rPr>
              <w:t>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1,427,589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(176,669)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(844,457)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9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(115,452)</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291,143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Stock-based compensation expense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Restricted stock issuance, net of shares withheld for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(9,274)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(3,612)</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Change in pension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Balance at March 31,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4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135</w:t>
            </w:r>
            <w:r>
              <w:rPr>
                <w:color w:val="000000"/>
              </w:rPr>
              <w:t>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1,420,832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(181,238)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(839,965)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9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(119,081)</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280,683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Stock-based compensation expense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(2,914)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Change in pension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Balance at June 30, 2026</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49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135</w:t>
            </w:r>
            <w:r>
              <w:rPr>
                <w:color w:val="000000"/>
              </w:rPr>
              <w:t> </w:t>
            </w:r>
          </w:p>
        </w:tc>
        <w:tc>
          <w:tcPr>
            <w:tcW w:w="12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88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1,423,448</w:t>
            </w: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75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(184,236)</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75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(827,558)</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93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(122,007)</w:t>
            </w:r>
          </w:p>
        </w:tc>
        <w:tc>
          <w:tcPr>
            <w:tcW w:w="13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75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289,782</w:t>
            </w: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i/>
          <w:color w:val="000000"/>
          <w:sz w:val="16"/>
        </w:rPr>
      </w:pPr>
      <w:r>
        <w:rPr>
          <w:rFonts w:ascii="Arial;sans-serif" w:hAnsi="Arial;sans-serif"/>
          <w:b w:val="false"/>
          <w:i/>
          <w:color w:val="000000"/>
          <w:sz w:val="16"/>
        </w:rPr>
        <w:t>The accompanying notes are an integral part of these condensed consolidated financial statements.</w:t>
      </w:r>
    </w:p>
    <w:p>
      <w:pPr>
        <w:pStyle w:val="TextBody"/>
        <w:bidi w:val="0"/>
        <w:spacing w:before="60" w:after="283"/>
        <w:jc w:val="left"/>
        <w:rPr/>
      </w:pPr>
      <w:r>
        <w:rPr/>
      </w:r>
    </w:p>
    <w:p>
      <w:pPr>
        <w:pStyle w:val="TextBody"/>
        <w:bidi w:val="0"/>
        <w:spacing w:before="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Forum Energy Technologies, Inc.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Statements of Changes in Stockholders’ Equity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(Unaudited)</w:t>
      </w:r>
    </w:p>
    <w:tbl>
      <w:tblPr>
        <w:tblW w:w="10205" w:type="dxa"/>
        <w:jc w:val="center"/>
        <w:tblInd w:w="0" w:type="dxa"/>
        <w:tblLayout w:type="fixed"/>
        <w:tblCellMar>
          <w:top w:w="28" w:type="dxa"/>
          <w:left w:w="28" w:type="dxa"/>
          <w:bottom w:w="28" w:type="dxa"/>
          <w:right w:w="28" w:type="dxa"/>
        </w:tblCellMar>
      </w:tblPr>
      <w:tblGrid>
        <w:gridCol w:w="686"/>
        <w:gridCol w:w="403"/>
        <w:gridCol w:w="405"/>
        <w:gridCol w:w="109"/>
        <w:gridCol w:w="109"/>
        <w:gridCol w:w="109"/>
        <w:gridCol w:w="235"/>
        <w:gridCol w:w="524"/>
        <w:gridCol w:w="132"/>
        <w:gridCol w:w="109"/>
        <w:gridCol w:w="109"/>
        <w:gridCol w:w="109"/>
        <w:gridCol w:w="212"/>
        <w:gridCol w:w="959"/>
        <w:gridCol w:w="118"/>
        <w:gridCol w:w="109"/>
        <w:gridCol w:w="109"/>
        <w:gridCol w:w="109"/>
        <w:gridCol w:w="199"/>
        <w:gridCol w:w="770"/>
        <w:gridCol w:w="110"/>
        <w:gridCol w:w="109"/>
        <w:gridCol w:w="109"/>
        <w:gridCol w:w="109"/>
        <w:gridCol w:w="196"/>
        <w:gridCol w:w="757"/>
        <w:gridCol w:w="109"/>
        <w:gridCol w:w="109"/>
        <w:gridCol w:w="109"/>
        <w:gridCol w:w="109"/>
        <w:gridCol w:w="245"/>
        <w:gridCol w:w="939"/>
        <w:gridCol w:w="137"/>
        <w:gridCol w:w="109"/>
        <w:gridCol w:w="109"/>
        <w:gridCol w:w="109"/>
        <w:gridCol w:w="196"/>
        <w:gridCol w:w="751"/>
        <w:gridCol w:w="160"/>
      </w:tblGrid>
      <w:tr>
        <w:trPr/>
        <w:tc>
          <w:tcPr>
            <w:tcW w:w="68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 June 30, 2025</w:t>
            </w:r>
          </w:p>
        </w:tc>
      </w:tr>
      <w:tr>
        <w:trPr/>
        <w:tc>
          <w:tcPr>
            <w:tcW w:w="149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 thousands)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w:t>
              <w:br/>
              <w:t>deficit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other</w:t>
              <w:br/>
              <w:t>comprehensive</w:t>
              <w:br/>
              <w:t>income (loss)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equity</w:t>
            </w:r>
          </w:p>
        </w:tc>
      </w:tr>
      <w:tr>
        <w:trPr/>
        <w:tc>
          <w:tcPr>
            <w:tcW w:w="14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Balance at December 31,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5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130</w:t>
            </w:r>
            <w:r>
              <w:rPr>
                <w:color w:val="000000"/>
              </w:rPr>
              <w:t>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9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1,419,871</w:t>
            </w: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7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(142,057)</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(834,797)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9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(123,247)</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319,900</w:t>
            </w:r>
            <w:r>
              <w:rPr>
                <w:color w:val="000000"/>
              </w:rPr>
              <w:t>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Stock-based compensation expense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1,818 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1,818 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Restricted stock issuance, net of shares withheld for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(1,323)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(1,321)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(1,997)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(1,997)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Change in pension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1,122 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Balance at March 31,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5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132</w:t>
            </w:r>
            <w:r>
              <w:rPr>
                <w:color w:val="000000"/>
              </w:rPr>
              <w:t>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9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1,420,366</w:t>
            </w:r>
            <w:r>
              <w:rPr>
                <w:color w:val="000000"/>
              </w:rPr>
              <w:t>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7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(144,054)</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7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(833,675)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9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(122,727)</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320,042</w:t>
            </w:r>
            <w:r>
              <w:rPr>
                <w:color w:val="000000"/>
              </w:rPr>
              <w:t>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Stock-based compensation expense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1,772 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1,772 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(4,298)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(4,298)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8,929 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8,929 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Change in pension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7,700 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Balance at June 30, 2025</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52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132</w:t>
            </w:r>
            <w:r>
              <w:rPr>
                <w:color w:val="000000"/>
              </w:rPr>
              <w:t> </w:t>
            </w:r>
          </w:p>
        </w:tc>
        <w:tc>
          <w:tcPr>
            <w:tcW w:w="13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95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1,422,138</w:t>
            </w:r>
            <w:r>
              <w:rPr>
                <w:color w:val="000000"/>
              </w:rPr>
              <w:t> </w:t>
            </w:r>
          </w:p>
        </w:tc>
        <w:tc>
          <w:tcPr>
            <w:tcW w:w="11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77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(148,352)</w:t>
            </w:r>
          </w:p>
        </w:tc>
        <w:tc>
          <w:tcPr>
            <w:tcW w:w="11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75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(825,975)</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93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7"/>
              </w:rPr>
            </w:pPr>
            <w:r>
              <w:rPr>
                <w:rFonts w:ascii="Arial;sans-serif" w:hAnsi="Arial;sans-serif"/>
                <w:b/>
                <w:color w:val="000000"/>
                <w:sz w:val="17"/>
              </w:rPr>
              <w:t>(113,723)</w:t>
            </w:r>
          </w:p>
        </w:tc>
        <w:tc>
          <w:tcPr>
            <w:tcW w:w="13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75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334,220</w:t>
            </w:r>
            <w:r>
              <w:rPr>
                <w:color w:val="000000"/>
              </w:rPr>
              <w:t> </w:t>
            </w:r>
          </w:p>
        </w:tc>
        <w:tc>
          <w:tcPr>
            <w:tcW w:w="16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i/>
          <w:color w:val="000000"/>
          <w:sz w:val="16"/>
        </w:rPr>
      </w:pPr>
      <w:r>
        <w:rPr>
          <w:rFonts w:ascii="Arial;sans-serif" w:hAnsi="Arial;sans-serif"/>
          <w:b w:val="false"/>
          <w:i/>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16"/>
          <w:u w:val="single"/>
        </w:rPr>
      </w:pPr>
      <w:r>
        <w:rPr>
          <w:rFonts w:ascii="Times New Roman;serif" w:hAnsi="Times New Roman;serif"/>
          <w:b w:val="false"/>
          <w:color w:val="0000FF"/>
          <w:sz w:val="16"/>
          <w:u w:val="single"/>
        </w:rPr>
        <w:t>Table of Contents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Forum Energy Technologies, Inc.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 xml:space="preserve">1. Organization and Basis of Presentation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Forum Energy Technologies, Inc. (the “Company,” “FET®,” “we,” “our,” or “us”), a Delaware corporation, is a global manufacturing company serving the oil, natural gas, defense and renewable energy industries. With headquarters located in Houston, Texas, FET optimizes customer operations by improving safety, increasing efficiency, and reducing environmental impact.</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Basis of Presentation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Company's accompanying unaudited condensed consolidated financial statements include the accounts of the Company and its subsidiaries. All intercompany transactions have been eliminated in consolidation.</w:t>
      </w:r>
    </w:p>
    <w:p>
      <w:pPr>
        <w:pStyle w:val="TextBody"/>
        <w:bidi w:val="0"/>
        <w:spacing w:lineRule="auto" w:line="288" w:before="120" w:after="283"/>
        <w:jc w:val="both"/>
        <w:rPr/>
      </w:pPr>
      <w:r>
        <w:rPr>
          <w:rFonts w:ascii="Arial;sans-serif" w:hAnsi="Arial;sans-serif"/>
          <w:b w:val="false"/>
          <w:color w:val="000000"/>
          <w:sz w:val="20"/>
        </w:rPr>
        <w:t>In management's opinion, all adjustments, consisting of normal recurring adjustments, necessary for the fair statement of the Company’s financial position, results of operations and cash flows have been included. Operating results for the three and six months ended</w:t>
      </w:r>
      <w:r>
        <w:rPr>
          <w:color w:val="000000"/>
        </w:rPr>
        <w:t xml:space="preserve"> </w:t>
      </w:r>
      <w:r>
        <w:rPr>
          <w:rFonts w:ascii="Arial;sans-serif" w:hAnsi="Arial;sans-serif"/>
          <w:b w:val="false"/>
          <w:color w:val="000000"/>
          <w:sz w:val="20"/>
        </w:rPr>
        <w:t>June 30, 2026 are not necessarily indicative of the results that may be expected for the year ending December 31, 2026 or any other interim period.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These interim financial statements are unaudited and have been prepared pursuant to the rules and regulations of the Securities and Exchange Commission (“SEC”) regarding interim financial reporting. Accordingly, they do not include all of the information and notes required by accounting principles generally accepted in the United States of America (“U.S. GAAP”) for complete consolidated financial statements and should be read in conjunction with the audited consolidated financial statements for the year ended December 31, 2025, which are included in the Company’s 2025 Annual Report on Form 10-K filed with the SEC on February 27,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 xml:space="preserve">2. Recent Accounting Pronouncements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From time to time, new accounting pronouncements are issued by the Financial Accounting Standards Board ("FASB"), which the Company adopts as of the specified effective date. Unless otherwise discussed, management believes that the impact of recently issued standards, which are not yet effective, will not have a material impact on the Company's consolidated financial statements upon adoption.</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Accounting Standards Issued But Not Yet Adopted</w:t>
      </w:r>
    </w:p>
    <w:p>
      <w:pPr>
        <w:pStyle w:val="TextBody"/>
        <w:bidi w:val="0"/>
        <w:spacing w:lineRule="auto" w:line="288" w:before="120" w:after="120"/>
        <w:jc w:val="both"/>
        <w:rPr/>
      </w:pPr>
      <w:r>
        <w:rPr>
          <w:rFonts w:ascii="Arial;sans-serif" w:hAnsi="Arial;sans-serif"/>
          <w:b/>
          <w:i/>
          <w:color w:val="000000"/>
          <w:sz w:val="20"/>
        </w:rPr>
        <w:t xml:space="preserve">Disaggregation of Income Statement Expenses (Subtopic 220-40). </w:t>
      </w:r>
      <w:r>
        <w:rPr>
          <w:rFonts w:ascii="Arial;sans-serif" w:hAnsi="Arial;sans-serif"/>
          <w:b w:val="false"/>
          <w:color w:val="000000"/>
          <w:sz w:val="20"/>
        </w:rPr>
        <w:t>In November 2024, FASB issued ASU 2024-03 to improve financial reporting by requiring entities to disclose additional information about specific expense categories in the notes to financial statements at interim and annual reporting periods. This update is effective for fiscal years beginning after December 15, 2026. Early adoption is permitted, and this update may be applied either prospectively or retrospectively. The Company is currently evaluating the impact of this standard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 xml:space="preserve">3. Revenue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Revenue is recognized when control of the promised goods or services is transferred to our customers, in an amount that reflects the consideration we expect to be entitled to receive in exchange for those goods or services. For a detailed discussion of our revenue recognition policies, refer to the Company’s 2025 Annual Report on Form 10-K.</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 xml:space="preserve">Disaggregated Revenue </w:t>
      </w:r>
    </w:p>
    <w:p>
      <w:pPr>
        <w:pStyle w:val="TextBody"/>
        <w:bidi w:val="0"/>
        <w:spacing w:lineRule="auto" w:line="288" w:before="120" w:after="283"/>
        <w:jc w:val="both"/>
        <w:rPr/>
      </w:pPr>
      <w:r>
        <w:rPr>
          <w:rFonts w:ascii="Arial;sans-serif" w:hAnsi="Arial;sans-serif"/>
          <w:b w:val="false"/>
          <w:color w:val="000000"/>
          <w:sz w:val="20"/>
        </w:rPr>
        <w:t xml:space="preserve">Refer to Note 9 </w:t>
      </w:r>
      <w:r>
        <w:rPr>
          <w:rFonts w:ascii="Arial;sans-serif" w:hAnsi="Arial;sans-serif"/>
          <w:b w:val="false"/>
          <w:i/>
          <w:color w:val="000000"/>
          <w:sz w:val="20"/>
        </w:rPr>
        <w:t xml:space="preserve">Business Segments </w:t>
      </w:r>
      <w:r>
        <w:rPr>
          <w:rFonts w:ascii="Arial;sans-serif" w:hAnsi="Arial;sans-serif"/>
          <w:b w:val="false"/>
          <w:color w:val="000000"/>
          <w:sz w:val="20"/>
        </w:rPr>
        <w:t xml:space="preserve">for disaggregated revenue by product line and geography. </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Contract Balances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Contract balances are determined on a contract by contract basis. Contract assets represent revenue recognized for goods and services provided to our customers when payment is conditioned on something other than the passage of time. Similarly, the Company records a contract liability when we receive consideration, or such consideration is unconditionally due, from a customer prior to transferring goods or services to the customer under the terms of a sales contract. Such contract liabilities typically result from billings in excess of costs incurred on construction contracts and advance payments received on product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v:textbox>
                <w10:wrap type="none"/>
              </v:rect>
            </w:pict>
          </mc:Fallback>
        </mc:AlternateContent>
      </w:r>
    </w:p>
    <w:p>
      <w:pPr>
        <w:pStyle w:val="TextBody"/>
        <w:bidi w:val="0"/>
        <w:spacing w:lineRule="auto" w:line="288" w:before="0" w:after="0"/>
        <w:jc w:val="left"/>
        <w:rPr/>
      </w:pPr>
      <w:hyperlink w:anchor="id4955b7c99bb45f8b6f31f22ad1f940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Forum Energy Technologies, Inc.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(Unaudited) </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The following table reflects the changes in our contract assets and contract liabilities balances for the six months ended June 30, 2026 (in thousands): </w:t>
      </w:r>
    </w:p>
    <w:tbl>
      <w:tblPr>
        <w:tblW w:w="10205" w:type="dxa"/>
        <w:jc w:val="left"/>
        <w:tblInd w:w="0" w:type="dxa"/>
        <w:tblLayout w:type="fixed"/>
        <w:tblCellMar>
          <w:top w:w="28" w:type="dxa"/>
          <w:left w:w="28" w:type="dxa"/>
          <w:bottom w:w="28" w:type="dxa"/>
          <w:right w:w="28" w:type="dxa"/>
        </w:tblCellMar>
      </w:tblPr>
      <w:tblGrid>
        <w:gridCol w:w="1553"/>
        <w:gridCol w:w="1363"/>
        <w:gridCol w:w="1365"/>
        <w:gridCol w:w="267"/>
        <w:gridCol w:w="950"/>
        <w:gridCol w:w="137"/>
        <w:gridCol w:w="109"/>
        <w:gridCol w:w="109"/>
        <w:gridCol w:w="109"/>
        <w:gridCol w:w="357"/>
        <w:gridCol w:w="1275"/>
        <w:gridCol w:w="184"/>
        <w:gridCol w:w="109"/>
        <w:gridCol w:w="109"/>
        <w:gridCol w:w="109"/>
        <w:gridCol w:w="215"/>
        <w:gridCol w:w="721"/>
        <w:gridCol w:w="110"/>
        <w:gridCol w:w="110"/>
        <w:gridCol w:w="110"/>
        <w:gridCol w:w="110"/>
        <w:gridCol w:w="188"/>
        <w:gridCol w:w="188"/>
        <w:gridCol w:w="348"/>
      </w:tblGrid>
      <w:tr>
        <w:trPr/>
        <w:tc>
          <w:tcPr>
            <w:tcW w:w="155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428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vMerge w:val="restart"/>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Increase (Decrease)</w:t>
            </w:r>
          </w:p>
        </w:tc>
      </w:tr>
      <w:tr>
        <w:trPr/>
        <w:tc>
          <w:tcPr>
            <w:tcW w:w="4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vMerge w:val="continue"/>
            <w:tcBorders>
              <w:top w:val="single" w:sz="16"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42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revenue</w:t>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and estimated profits in excess of billings</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16,206 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9,369 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1"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r>
      <w:tr>
        <w:trPr/>
        <w:tc>
          <w:tcPr>
            <w:tcW w:w="4281"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r>
      <w:tr>
        <w:trPr/>
        <w:tc>
          <w:tcPr>
            <w:tcW w:w="4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Contract assets</w:t>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16,276 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9,390 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6,886 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15,325 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17,438 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Billings in excess of costs and profits recognized</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17,669 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16,884 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Contract liabilities</w:t>
            </w:r>
          </w:p>
        </w:tc>
        <w:tc>
          <w:tcPr>
            <w:tcW w:w="26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32,994 </w:t>
            </w:r>
          </w:p>
        </w:tc>
        <w:tc>
          <w:tcPr>
            <w:tcW w:w="13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34,322 </w:t>
            </w:r>
          </w:p>
        </w:tc>
        <w:tc>
          <w:tcPr>
            <w:tcW w:w="18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(1,328)</w:t>
            </w:r>
          </w:p>
        </w:tc>
        <w:tc>
          <w:tcPr>
            <w:tcW w:w="11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34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During the six months ended June 30, 2026, our contract assets increased by $6.9 million and our contract liabilities decreased $1.3 million primarily due to the timing of milestone billings for projects in our Subsea product line.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During the six months ended June 30, 2026, we recognized $22.9 million of revenue that was included in the contract liabilities balance at the beginning of the period.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of June 30, 2026, the Company’s remaining performance obligations totaled approximately $39.5 million related to contracts with an original expected duration of greater than one year. The remaining performance obligations represent contracted revenue that has not yet been recognized and excludes amounts related to contracts with an original expected duration of one year or less, for which the Company has elected the practical expedient under ASC 606.</w:t>
      </w:r>
    </w:p>
    <w:p>
      <w:pPr>
        <w:pStyle w:val="TextBody"/>
        <w:bidi w:val="0"/>
        <w:spacing w:lineRule="auto" w:line="276" w:before="120" w:after="283"/>
        <w:jc w:val="both"/>
        <w:rPr>
          <w:rFonts w:ascii="Arial;sans-serif" w:hAnsi="Arial;sans-serif"/>
          <w:b w:val="false"/>
          <w:color w:val="000000"/>
          <w:sz w:val="20"/>
        </w:rPr>
      </w:pPr>
      <w:r>
        <w:rPr>
          <w:rFonts w:ascii="Arial;sans-serif" w:hAnsi="Arial;sans-serif"/>
          <w:b w:val="false"/>
          <w:color w:val="000000"/>
          <w:sz w:val="20"/>
        </w:rPr>
        <w:t>The Company expects to recognize approximately $21.6 million of the remaining performance obligations over the next twelve months, with the remainder recognized thereafter, generally over the remaining contract terms, which extend up to three years. Actual timing of revenue recognition may vary due to changes in project scope, execution schedules, or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 xml:space="preserve">4. Inventories </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Company's significant components of inventory at June 30, 2026 and December 31, 2025 were as follows (in thousands):</w:t>
      </w:r>
    </w:p>
    <w:tbl>
      <w:tblPr>
        <w:tblW w:w="5800" w:type="dxa"/>
        <w:jc w:val="left"/>
        <w:tblInd w:w="0" w:type="dxa"/>
        <w:tblLayout w:type="fixed"/>
        <w:tblCellMar>
          <w:top w:w="28" w:type="dxa"/>
          <w:left w:w="28" w:type="dxa"/>
          <w:bottom w:w="28" w:type="dxa"/>
          <w:right w:w="28" w:type="dxa"/>
        </w:tblCellMar>
      </w:tblPr>
      <w:tblGrid>
        <w:gridCol w:w="804"/>
        <w:gridCol w:w="705"/>
        <w:gridCol w:w="710"/>
        <w:gridCol w:w="245"/>
        <w:gridCol w:w="994"/>
        <w:gridCol w:w="126"/>
        <w:gridCol w:w="109"/>
        <w:gridCol w:w="109"/>
        <w:gridCol w:w="109"/>
        <w:gridCol w:w="326"/>
        <w:gridCol w:w="1325"/>
        <w:gridCol w:w="238"/>
      </w:tblGrid>
      <w:tr>
        <w:trPr/>
        <w:tc>
          <w:tcPr>
            <w:tcW w:w="804"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22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Raw materials and parts</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90,389 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95,617 </w:t>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Work in process</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28,304 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26,001 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Finished goods</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142,518 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140,822 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inventories</w:t>
            </w:r>
          </w:p>
        </w:tc>
        <w:tc>
          <w:tcPr>
            <w:tcW w:w="12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261,211 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262,440 </w:t>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inventory reserve</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(27,738)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(23,020)</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Inventories, net</w:t>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233,473 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239,420 </w:t>
            </w:r>
          </w:p>
        </w:tc>
        <w:tc>
          <w:tcPr>
            <w:tcW w:w="2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v:textbox>
                <w10:wrap type="none"/>
              </v:rect>
            </w:pict>
          </mc:Fallback>
        </mc:AlternateContent>
      </w:r>
    </w:p>
    <w:p>
      <w:pPr>
        <w:pStyle w:val="TextBody"/>
        <w:bidi w:val="0"/>
        <w:spacing w:lineRule="auto" w:line="288" w:before="0" w:after="0"/>
        <w:jc w:val="left"/>
        <w:rPr/>
      </w:pPr>
      <w:hyperlink w:anchor="id4955b7c99bb45f8b6f31f22ad1f940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Forum Energy Technologies, Inc.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(Unaudited) </w:t>
      </w: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5. Goodwill and Intangible Assets</w:t>
      </w:r>
    </w:p>
    <w:p>
      <w:pPr>
        <w:pStyle w:val="TextBody"/>
        <w:bidi w:val="0"/>
        <w:spacing w:lineRule="auto" w:line="288" w:before="120" w:after="100"/>
        <w:jc w:val="both"/>
        <w:rPr>
          <w:rFonts w:ascii="Arial;sans-serif" w:hAnsi="Arial;sans-serif"/>
          <w:b/>
          <w:i/>
          <w:color w:val="000000"/>
          <w:sz w:val="20"/>
        </w:rPr>
      </w:pPr>
      <w:r>
        <w:rPr>
          <w:rFonts w:ascii="Arial;sans-serif" w:hAnsi="Arial;sans-serif"/>
          <w:b/>
          <w:i/>
          <w:color w:val="000000"/>
          <w:sz w:val="20"/>
        </w:rPr>
        <w:t>Goodwill</w:t>
      </w:r>
    </w:p>
    <w:p>
      <w:pPr>
        <w:pStyle w:val="TextBody"/>
        <w:bidi w:val="0"/>
        <w:spacing w:lineRule="auto" w:line="288" w:before="120" w:after="100"/>
        <w:jc w:val="both"/>
        <w:rPr>
          <w:rFonts w:ascii="Arial;sans-serif" w:hAnsi="Arial;sans-serif"/>
          <w:b w:val="false"/>
          <w:color w:val="000000"/>
          <w:sz w:val="20"/>
        </w:rPr>
      </w:pPr>
      <w:r>
        <w:rPr>
          <w:rFonts w:ascii="Arial;sans-serif" w:hAnsi="Arial;sans-serif"/>
          <w:b w:val="false"/>
          <w:color w:val="000000"/>
          <w:sz w:val="20"/>
        </w:rPr>
        <w:t>The changes in the carrying amount of goodwill from December 31, 2025 to June 30, 2026, were as follows (in thousands):</w:t>
      </w:r>
    </w:p>
    <w:tbl>
      <w:tblPr>
        <w:tblW w:w="7061" w:type="dxa"/>
        <w:jc w:val="left"/>
        <w:tblInd w:w="0" w:type="dxa"/>
        <w:tblLayout w:type="fixed"/>
        <w:tblCellMar>
          <w:top w:w="28" w:type="dxa"/>
          <w:left w:w="28" w:type="dxa"/>
          <w:bottom w:w="28" w:type="dxa"/>
          <w:right w:w="28" w:type="dxa"/>
        </w:tblCellMar>
      </w:tblPr>
      <w:tblGrid>
        <w:gridCol w:w="1468"/>
        <w:gridCol w:w="1289"/>
        <w:gridCol w:w="1293"/>
        <w:gridCol w:w="109"/>
        <w:gridCol w:w="109"/>
        <w:gridCol w:w="109"/>
        <w:gridCol w:w="507"/>
        <w:gridCol w:w="1807"/>
        <w:gridCol w:w="370"/>
      </w:tblGrid>
      <w:tr>
        <w:trPr/>
        <w:tc>
          <w:tcPr>
            <w:tcW w:w="1468"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op w:val="single" w:sz="1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op w:val="single" w:sz="12"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Artificial Lift and Downhole</w:t>
            </w:r>
          </w:p>
        </w:tc>
      </w:tr>
      <w:tr>
        <w:trPr/>
        <w:tc>
          <w:tcPr>
            <w:tcW w:w="40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Goodwill, December 31,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64,667 </w:t>
            </w:r>
          </w:p>
        </w:tc>
        <w:tc>
          <w:tcPr>
            <w:tcW w:w="3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84"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Impact on non-U.S. local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(2,120)</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Goodwill,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8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62,547 </w:t>
            </w:r>
          </w:p>
        </w:tc>
        <w:tc>
          <w:tcPr>
            <w:tcW w:w="3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00"/>
        <w:jc w:val="both"/>
        <w:rPr>
          <w:rFonts w:ascii="Arial;sans-serif" w:hAnsi="Arial;sans-serif"/>
          <w:b w:val="false"/>
          <w:color w:val="000000"/>
          <w:sz w:val="20"/>
        </w:rPr>
      </w:pPr>
      <w:r>
        <w:rPr>
          <w:rFonts w:ascii="Arial;sans-serif" w:hAnsi="Arial;sans-serif"/>
          <w:b w:val="false"/>
          <w:color w:val="000000"/>
          <w:sz w:val="20"/>
        </w:rPr>
        <w:t>Goodwill is not amortized and is tested for impairment at least annually or when events and circumstances indicate that fair value may be below its carrying value.</w:t>
      </w:r>
    </w:p>
    <w:p>
      <w:pPr>
        <w:pStyle w:val="TextBody"/>
        <w:bidi w:val="0"/>
        <w:spacing w:lineRule="auto" w:line="288" w:before="120" w:after="100"/>
        <w:jc w:val="both"/>
        <w:rPr>
          <w:rFonts w:ascii="Arial;sans-serif" w:hAnsi="Arial;sans-serif"/>
          <w:b/>
          <w:i/>
          <w:color w:val="000000"/>
          <w:sz w:val="20"/>
        </w:rPr>
      </w:pPr>
      <w:r>
        <w:rPr>
          <w:rFonts w:ascii="Arial;sans-serif" w:hAnsi="Arial;sans-serif"/>
          <w:b/>
          <w:i/>
          <w:color w:val="000000"/>
          <w:sz w:val="20"/>
        </w:rPr>
        <w:t>Intangible Assets</w:t>
      </w:r>
    </w:p>
    <w:p>
      <w:pPr>
        <w:pStyle w:val="TextBody"/>
        <w:bidi w:val="0"/>
        <w:spacing w:lineRule="auto" w:line="288" w:before="120" w:after="120"/>
        <w:jc w:val="both"/>
        <w:rPr/>
      </w:pPr>
      <w:r>
        <w:rPr>
          <w:rFonts w:ascii="Arial;sans-serif" w:hAnsi="Arial;sans-serif"/>
          <w:b w:val="false"/>
          <w:color w:val="000000"/>
          <w:sz w:val="20"/>
        </w:rPr>
        <w:t>Intangible assets consisted of the following as of June 30, 2026</w:t>
      </w:r>
      <w:r>
        <w:rPr>
          <w:color w:val="000000"/>
        </w:rPr>
        <w:t xml:space="preserve"> </w:t>
      </w:r>
      <w:r>
        <w:rPr>
          <w:rFonts w:ascii="Arial;sans-serif" w:hAnsi="Arial;sans-serif"/>
          <w:b w:val="false"/>
          <w:color w:val="000000"/>
          <w:sz w:val="20"/>
        </w:rPr>
        <w:t xml:space="preserve">and December 31, 2025, respectively (in thousands): </w:t>
      </w:r>
    </w:p>
    <w:tbl>
      <w:tblPr>
        <w:tblW w:w="10205" w:type="dxa"/>
        <w:jc w:val="left"/>
        <w:tblInd w:w="0" w:type="dxa"/>
        <w:tblLayout w:type="fixed"/>
        <w:tblCellMar>
          <w:top w:w="28" w:type="dxa"/>
          <w:left w:w="28" w:type="dxa"/>
          <w:bottom w:w="28" w:type="dxa"/>
          <w:right w:w="28" w:type="dxa"/>
        </w:tblCellMar>
      </w:tblPr>
      <w:tblGrid>
        <w:gridCol w:w="683"/>
        <w:gridCol w:w="600"/>
        <w:gridCol w:w="603"/>
        <w:gridCol w:w="327"/>
        <w:gridCol w:w="1328"/>
        <w:gridCol w:w="168"/>
        <w:gridCol w:w="109"/>
        <w:gridCol w:w="109"/>
        <w:gridCol w:w="109"/>
        <w:gridCol w:w="356"/>
        <w:gridCol w:w="1463"/>
        <w:gridCol w:w="187"/>
        <w:gridCol w:w="109"/>
        <w:gridCol w:w="109"/>
        <w:gridCol w:w="109"/>
        <w:gridCol w:w="251"/>
        <w:gridCol w:w="896"/>
        <w:gridCol w:w="129"/>
        <w:gridCol w:w="109"/>
        <w:gridCol w:w="109"/>
        <w:gridCol w:w="109"/>
        <w:gridCol w:w="652"/>
        <w:gridCol w:w="652"/>
        <w:gridCol w:w="929"/>
      </w:tblGrid>
      <w:tr>
        <w:trPr/>
        <w:tc>
          <w:tcPr>
            <w:tcW w:w="68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r>
      <w:tr>
        <w:trPr/>
        <w:tc>
          <w:tcPr>
            <w:tcW w:w="18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9" w:type="dxa"/>
            <w:gridSpan w:val="21"/>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r>
      <w:tr>
        <w:trPr/>
        <w:tc>
          <w:tcPr>
            <w:tcW w:w="1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 Intangibles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Amortization Period (In Years)</w:t>
            </w:r>
          </w:p>
        </w:tc>
      </w:tr>
      <w:tr>
        <w:trPr/>
        <w:tc>
          <w:tcPr>
            <w:tcW w:w="18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Customer relationships</w:t>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212,526 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(144,460)</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68,066 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3 - 15</w:t>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Patents and technology</w:t>
            </w:r>
          </w:p>
        </w:tc>
        <w:tc>
          <w:tcPr>
            <w:tcW w:w="1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29,910 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(21,005)</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8,905 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10 - 19</w:t>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names and other</w:t>
            </w:r>
          </w:p>
        </w:tc>
        <w:tc>
          <w:tcPr>
            <w:tcW w:w="1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27,797 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(22,710)</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3 - 19</w:t>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intangible assets</w:t>
            </w:r>
          </w:p>
        </w:tc>
        <w:tc>
          <w:tcPr>
            <w:tcW w:w="3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270,233 </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(188,175)</w:t>
            </w:r>
          </w:p>
        </w:tc>
        <w:tc>
          <w:tcPr>
            <w:tcW w:w="1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82,058 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83"/>
        <w:gridCol w:w="600"/>
        <w:gridCol w:w="603"/>
        <w:gridCol w:w="327"/>
        <w:gridCol w:w="1328"/>
        <w:gridCol w:w="168"/>
        <w:gridCol w:w="109"/>
        <w:gridCol w:w="109"/>
        <w:gridCol w:w="109"/>
        <w:gridCol w:w="356"/>
        <w:gridCol w:w="1463"/>
        <w:gridCol w:w="187"/>
        <w:gridCol w:w="109"/>
        <w:gridCol w:w="109"/>
        <w:gridCol w:w="109"/>
        <w:gridCol w:w="251"/>
        <w:gridCol w:w="896"/>
        <w:gridCol w:w="129"/>
        <w:gridCol w:w="109"/>
        <w:gridCol w:w="109"/>
        <w:gridCol w:w="109"/>
        <w:gridCol w:w="652"/>
        <w:gridCol w:w="652"/>
        <w:gridCol w:w="929"/>
      </w:tblGrid>
      <w:tr>
        <w:trPr/>
        <w:tc>
          <w:tcPr>
            <w:tcW w:w="68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r>
      <w:tr>
        <w:trPr/>
        <w:tc>
          <w:tcPr>
            <w:tcW w:w="18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9" w:type="dxa"/>
            <w:gridSpan w:val="21"/>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1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 Intangibles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Amortization Period (In Years)</w:t>
            </w:r>
          </w:p>
        </w:tc>
      </w:tr>
      <w:tr>
        <w:trPr/>
        <w:tc>
          <w:tcPr>
            <w:tcW w:w="18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Customer relationships</w:t>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216,559 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(138,510)</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78,049 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3 - 15</w:t>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Patents and technology</w:t>
            </w:r>
          </w:p>
        </w:tc>
        <w:tc>
          <w:tcPr>
            <w:tcW w:w="1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30,122 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(20,241)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9,881 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10 - 19</w:t>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names and other</w:t>
            </w:r>
          </w:p>
        </w:tc>
        <w:tc>
          <w:tcPr>
            <w:tcW w:w="1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28,040 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(22,333)</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3 - 19</w:t>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intangible assets</w:t>
            </w:r>
          </w:p>
        </w:tc>
        <w:tc>
          <w:tcPr>
            <w:tcW w:w="3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274,721 </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(181,084)</w:t>
            </w:r>
          </w:p>
        </w:tc>
        <w:tc>
          <w:tcPr>
            <w:tcW w:w="1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93,637 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00"/>
        <w:jc w:val="both"/>
        <w:rPr>
          <w:rFonts w:ascii="Arial;sans-serif" w:hAnsi="Arial;sans-serif"/>
          <w:b w:val="false"/>
          <w:color w:val="000000"/>
          <w:sz w:val="20"/>
        </w:rPr>
      </w:pPr>
      <w:r>
        <w:rPr>
          <w:rFonts w:ascii="Arial;sans-serif" w:hAnsi="Arial;sans-serif"/>
          <w:b w:val="false"/>
          <w:color w:val="000000"/>
          <w:sz w:val="20"/>
        </w:rPr>
        <w:t>Intangible assets with definite lives are tested for impairment whenever events or changes in circumstances indicate that their carrying amount may not be recoverable.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v:textbox>
                <w10:wrap type="none"/>
              </v:rect>
            </w:pict>
          </mc:Fallback>
        </mc:AlternateContent>
      </w:r>
    </w:p>
    <w:p>
      <w:pPr>
        <w:pStyle w:val="TextBody"/>
        <w:bidi w:val="0"/>
        <w:spacing w:lineRule="auto" w:line="288" w:before="0" w:after="0"/>
        <w:jc w:val="left"/>
        <w:rPr/>
      </w:pPr>
      <w:hyperlink w:anchor="id4955b7c99bb45f8b6f31f22ad1f940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Forum Energy Technologies, Inc.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(Unaudited) </w:t>
      </w: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 xml:space="preserve">6. Debt </w:t>
      </w:r>
    </w:p>
    <w:p>
      <w:pPr>
        <w:pStyle w:val="TextBody"/>
        <w:bidi w:val="0"/>
        <w:spacing w:lineRule="auto" w:line="288" w:before="120" w:after="120"/>
        <w:jc w:val="both"/>
        <w:rPr/>
      </w:pPr>
      <w:r>
        <w:rPr>
          <w:rFonts w:ascii="Arial;sans-serif" w:hAnsi="Arial;sans-serif"/>
          <w:b w:val="false"/>
          <w:color w:val="000000"/>
          <w:sz w:val="20"/>
        </w:rPr>
        <w:t>Debt as of June 30, 2026 and December 31, 2025 consisted of the following (in thousands):</w:t>
      </w:r>
      <w:r>
        <w:rPr>
          <w:color w:val="000000"/>
        </w:rPr>
        <w:t> </w:t>
      </w:r>
    </w:p>
    <w:tbl>
      <w:tblPr>
        <w:tblW w:w="7226" w:type="dxa"/>
        <w:jc w:val="left"/>
        <w:tblInd w:w="0" w:type="dxa"/>
        <w:tblLayout w:type="fixed"/>
        <w:tblCellMar>
          <w:top w:w="28" w:type="dxa"/>
          <w:left w:w="28" w:type="dxa"/>
          <w:bottom w:w="28" w:type="dxa"/>
          <w:right w:w="28" w:type="dxa"/>
        </w:tblCellMar>
      </w:tblPr>
      <w:tblGrid>
        <w:gridCol w:w="1320"/>
        <w:gridCol w:w="1160"/>
        <w:gridCol w:w="1165"/>
        <w:gridCol w:w="245"/>
        <w:gridCol w:w="994"/>
        <w:gridCol w:w="126"/>
        <w:gridCol w:w="109"/>
        <w:gridCol w:w="109"/>
        <w:gridCol w:w="109"/>
        <w:gridCol w:w="326"/>
        <w:gridCol w:w="1325"/>
        <w:gridCol w:w="238"/>
      </w:tblGrid>
      <w:tr>
        <w:trPr/>
        <w:tc>
          <w:tcPr>
            <w:tcW w:w="132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36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 Bonds</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100,000 </w:t>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Credit Facility</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45,030 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37,282 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debt</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4,008 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principal amount</w:t>
            </w:r>
          </w:p>
        </w:tc>
        <w:tc>
          <w:tcPr>
            <w:tcW w:w="12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148,505 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141,290 </w:t>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issuance cost</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(5,362)</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carrying value</w:t>
            </w:r>
          </w:p>
        </w:tc>
        <w:tc>
          <w:tcPr>
            <w:tcW w:w="12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143,708 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135,928 </w:t>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current portion</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(1,407)</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Long-term debt, net of current portion</w:t>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142,435 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134,521 </w:t>
            </w:r>
          </w:p>
        </w:tc>
        <w:tc>
          <w:tcPr>
            <w:tcW w:w="2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00"/>
        <w:jc w:val="both"/>
        <w:rPr>
          <w:rFonts w:ascii="Arial;sans-serif" w:hAnsi="Arial;sans-serif"/>
          <w:b/>
          <w:i/>
          <w:color w:val="000000"/>
          <w:sz w:val="20"/>
        </w:rPr>
      </w:pPr>
      <w:r>
        <w:rPr>
          <w:rFonts w:ascii="Arial;sans-serif" w:hAnsi="Arial;sans-serif"/>
          <w:b/>
          <w:i/>
          <w:color w:val="000000"/>
          <w:sz w:val="20"/>
        </w:rPr>
        <w:t>2029 Bonds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10.5% senior secured bonds due 2029 (“2029 Bonds”) were issued pursuant to the Bond Terms, dated as of November 5, 2024 (the “Bond Terms”), between the Company and Nordic Trustee AS, as bond trustee and security agent (the “Bond Trustee”). In May 2025, the 2029 Bonds were listed on the Euronext ABM exchange. The 2029 Bonds are the Company’s senior secured obligations and are jointly and severally guaranteed on a senior secured basis by each of the Company’s present and future direct and indirect domestic subsidiaries that guarantees its Credit Facility and certain of the Company’s foreign subsidiaries.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2029 Bonds will mature on November 7, 2029. Interest on the 2029 Bonds will accrue at a rate of 10.5% per annum payable semi-annually in arrears on May 7 and November 7 of each year in cash, beginning May 7, 2025. Prepayment of the 2029 Bonds prior to May 7, 2027 requires the payment of make-whole amounts, and prepayments on or after that date are subject to prepayment premiums that decline over time.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2029 Bonds contain the following financial covenants: (i) a maximum leverage ratio of 4.0x; and (ii) a minimum liquidity test equal to $25.0 million, in each case, for the Company and its consolidated subsidiaries. The Bond Terms also contain certain equity cure rights with respect to such financial covenants. The 2029 Bonds are also subject to negative covenants as set forth in the Bond Terms. As of June 30, 2026, the Company was in compliance with all of its 2029 Bonds financial covenants.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Upon the occurrence of certain change of control events, as specified in the Bond Terms, each holder of the 2029 Bonds will have the right to require that the Company repurchase all or some of such holder’s 2029 Bonds in cash at a purchase price equal to 101% of the aggregate principal amount thereof.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Bond Terms contain certain customary events of default, including, among other things: (i) default in the payment of any amount when due; (ii) default in the performance or breach of any other covenant in the Finance Documents, as defined in the Bond Terms, which default continues uncured for a period of 20 business days after the earlier of (1) the Company’s actual knowledge of such event or (2) the Company’s receipt of notice from the Bond Trustee; and (iii) certain voluntary or involuntary events of bankruptcy, insolvency or reorganization of the Company.</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Credit Facility</w:t>
      </w:r>
    </w:p>
    <w:p>
      <w:pPr>
        <w:pStyle w:val="TextBody"/>
        <w:bidi w:val="0"/>
        <w:spacing w:lineRule="auto" w:line="288" w:before="120" w:after="283"/>
        <w:jc w:val="both"/>
        <w:rPr/>
      </w:pPr>
      <w:r>
        <w:rPr>
          <w:rFonts w:ascii="Arial;sans-serif" w:hAnsi="Arial;sans-serif"/>
          <w:b w:val="false"/>
          <w:color w:val="000000"/>
          <w:sz w:val="20"/>
          <w:shd w:fill="FFFFFF" w:val="clear"/>
        </w:rPr>
        <w:t xml:space="preserve">In February 2026, we amended our senior secured revolving credit facility (“Credit Facility”) to </w:t>
      </w:r>
      <w:r>
        <w:rPr>
          <w:rFonts w:ascii="Arial;sans-serif" w:hAnsi="Arial;sans-serif"/>
          <w:b w:val="false"/>
          <w:color w:val="000000"/>
          <w:sz w:val="20"/>
        </w:rPr>
        <w:t xml:space="preserve">(i) extend the scheduled maturity date from September 8, 2028 to February 4, 2031, (ii) revise the interest rate margin over Secured Overnight Financing Rate (“SOFR”) applicable to outstanding loans, previously ranging from 2.25% to 2.75% determined based on the Company’s total net leverage ratio, to instead range from 2.00% to 2.50%, determined based on excess availability under the Credit Facility and (iii) increase the U.S. letter of credit sublimit from </w:t>
      </w:r>
      <w:r>
        <w:rPr>
          <w:rFonts w:ascii="Arial;sans-serif" w:hAnsi="Arial;sans-serif"/>
          <w:b w:val="false"/>
          <w:color w:val="000000"/>
          <w:sz w:val="20"/>
          <w:shd w:fill="FFFFFF" w:val="clear"/>
        </w:rPr>
        <w:t>$70.0 million</w:t>
      </w:r>
      <w:r>
        <w:rPr>
          <w:color w:val="000000"/>
        </w:rPr>
        <w:t xml:space="preserve"> </w:t>
      </w:r>
      <w:r>
        <w:rPr>
          <w:rFonts w:ascii="Arial;sans-serif" w:hAnsi="Arial;sans-serif"/>
          <w:b w:val="false"/>
          <w:color w:val="000000"/>
          <w:sz w:val="20"/>
        </w:rPr>
        <w:t xml:space="preserve">to </w:t>
      </w:r>
      <w:r>
        <w:rPr>
          <w:rFonts w:ascii="Arial;sans-serif" w:hAnsi="Arial;sans-serif"/>
          <w:b w:val="false"/>
          <w:color w:val="000000"/>
          <w:sz w:val="20"/>
          <w:shd w:fill="FFFFFF" w:val="clear"/>
        </w:rPr>
        <w:t>$100.0 million</w:t>
      </w:r>
      <w:r>
        <w:rPr>
          <w:rFonts w:ascii="Arial;sans-serif" w:hAnsi="Arial;sans-serif"/>
          <w:b w:val="false"/>
          <w:color w:val="000000"/>
          <w:sz w:val="20"/>
        </w:rPr>
        <w:t xml:space="preserve">. The Canadian letter of credit sublimit remains at </w:t>
      </w:r>
      <w:r>
        <w:rPr>
          <w:rFonts w:ascii="Arial;sans-serif" w:hAnsi="Arial;sans-serif"/>
          <w:b w:val="false"/>
          <w:color w:val="000000"/>
          <w:sz w:val="20"/>
          <w:shd w:fill="FFFFFF" w:val="clear"/>
        </w:rPr>
        <w:t xml:space="preserve">$10.0 million </w:t>
      </w:r>
      <w:r>
        <w:rPr>
          <w:rFonts w:ascii="Arial;sans-serif" w:hAnsi="Arial;sans-serif"/>
          <w:b w:val="false"/>
          <w:color w:val="000000"/>
          <w:sz w:val="20"/>
        </w:rPr>
        <w:t>U.S. dollars.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v:textbox>
                <w10:wrap type="none"/>
              </v:rect>
            </w:pict>
          </mc:Fallback>
        </mc:AlternateContent>
      </w:r>
    </w:p>
    <w:p>
      <w:pPr>
        <w:pStyle w:val="TextBody"/>
        <w:bidi w:val="0"/>
        <w:spacing w:lineRule="auto" w:line="288" w:before="0" w:after="0"/>
        <w:jc w:val="left"/>
        <w:rPr/>
      </w:pPr>
      <w:hyperlink w:anchor="id4955b7c99bb45f8b6f31f22ad1f940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Forum Energy Technologies, Inc.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(Unaudited) </w:t>
      </w:r>
    </w:p>
    <w:p>
      <w:pPr>
        <w:pStyle w:val="TextBody"/>
        <w:bidi w:val="0"/>
        <w:spacing w:lineRule="auto" w:line="288" w:before="120" w:after="283"/>
        <w:jc w:val="both"/>
        <w:rPr/>
      </w:pPr>
      <w:r>
        <w:rPr>
          <w:rFonts w:ascii="Arial;sans-serif" w:hAnsi="Arial;sans-serif"/>
          <w:b w:val="false"/>
          <w:color w:val="000000"/>
          <w:sz w:val="20"/>
        </w:rPr>
        <w:t>Following such amendment, the Credit Facility matures on the earliest of (a) February 4, 2031 and (b) the date that is 91 days prior to the maturity of the 2029 Bonds or any notes issued to refinance the 2029 Bonds (which will not apply if the 2029 Bonds or any such refinancing notes are repaid prior to such 91st day). Th</w:t>
      </w:r>
      <w:r>
        <w:rPr>
          <w:rFonts w:ascii="Arial;sans-serif" w:hAnsi="Arial;sans-serif"/>
          <w:b w:val="false"/>
          <w:color w:val="000000"/>
          <w:sz w:val="20"/>
          <w:shd w:fill="FFFFFF" w:val="clear"/>
        </w:rPr>
        <w:t>e Credit Facility provides revolving credit commitments of $250.0 million</w:t>
      </w:r>
      <w:r>
        <w:rPr>
          <w:color w:val="000000"/>
        </w:rPr>
        <w:t> </w:t>
      </w:r>
      <w:r>
        <w:rPr>
          <w:rFonts w:ascii="Arial;sans-serif" w:hAnsi="Arial;sans-serif"/>
          <w:b w:val="false"/>
          <w:color w:val="000000"/>
          <w:sz w:val="20"/>
        </w:rPr>
        <w:t>(with a sublimit of up to </w:t>
      </w:r>
      <w:r>
        <w:rPr>
          <w:rFonts w:ascii="Arial;sans-serif" w:hAnsi="Arial;sans-serif"/>
          <w:b w:val="false"/>
          <w:color w:val="000000"/>
          <w:sz w:val="20"/>
          <w:shd w:fill="FFFFFF" w:val="clear"/>
        </w:rPr>
        <w:t>$100.0 million</w:t>
      </w:r>
      <w:r>
        <w:rPr>
          <w:color w:val="000000"/>
        </w:rPr>
        <w:t> </w:t>
      </w:r>
      <w:r>
        <w:rPr>
          <w:rFonts w:ascii="Arial;sans-serif" w:hAnsi="Arial;sans-serif"/>
          <w:b w:val="false"/>
          <w:color w:val="000000"/>
          <w:sz w:val="20"/>
        </w:rPr>
        <w:t xml:space="preserve">available for the issuance of letters of credit for the account of the Company and certain of its domestic subsidiaries) (the “U.S. Line”), of which up to $50.0 million is available to certain of our Canadian subsidiaries for loans in U.S. or Canadian dollars (with a sublimit of up to $10.0 million U.S. dollars available for the issuance of letters of credit for the account of our Canadian subsidiaries) (the “Canadian </w:t>
      </w:r>
      <w:r>
        <w:rPr>
          <w:rFonts w:ascii="Arial;sans-serif" w:hAnsi="Arial;sans-serif"/>
          <w:b w:val="false"/>
          <w:color w:val="000000"/>
          <w:sz w:val="20"/>
          <w:shd w:fill="FFFFFF" w:val="clear"/>
        </w:rPr>
        <w:t>Line”). Lender commitments under the Credit Facility, subject to certain limitations, may be increased by an additional $100.0 million</w:t>
      </w:r>
      <w:r>
        <w:rPr>
          <w:rFonts w:ascii="Times New Roman;serif" w:hAnsi="Times New Roman;serif"/>
          <w:b w:val="false"/>
          <w:color w:val="000000"/>
          <w:sz w:val="20"/>
        </w:rPr>
        <w: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Availability under the Credit Facility is subject to a borrowing base calculated by reference to eligible accounts receivable in the U.S., Canada and certain other jurisdictions (subject to a cap) and eligible inventory in the U.S. and Canada. Our borrowing capacity under the Credit Facility could be reduced or eliminated, depending on future fluctuations in our receivables and inventory. As of June 30, 2026, our total borrowing base was $151.9 million, of which amount $45.0 million was drawn and $44.9 million was used as security for outstanding letters of credit, resulting in remaining availability of $62.0 million.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Borrowings under the U.S. Line bear interest at a rate equal to, at our option, either (a) SOFR, subject to a floor of 0.00%, plus a margin of 2.00% to 2.50%, or (b) a base rate plus a margin of 1.00% to 1.50%, in each case based upon the Company's excess availability under the Credit Facility. The U.S. Line base rate is determined by reference to the greatest of (i) the federal funds rate plus 0.50% per annum, (ii) the one-month adjusted term SOFR plus 1.00% per annum, and (iii) the “prime rate” of interest announced by Wells Fargo Bank, National Association, subject to a floor of 0.00%.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Borrowings under the Canadian Line bear interest at a rate equal to, at our Canadian borrowers’ option, either (a) Canadian Overnight Repo Rate Average (“CORRA”), subject to a floor of 0.00%, plus a margin of 2.00% to 2.50%, or (b) a base rate plus a margin of 1.00% to 1.50%, in each case based upon the Company's excess availability under the Credit Facility. The Canadian Line base rate is determined by reference to the greater of (i) the one-month CORRA plus 1.00% per annum and (ii) the prime rate for Canadian dollar commercial loans made in Canada as reported by Thomson Reuters, subject to a floor of 0.00%.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weighted average interest rate under the Credit Facility was approximately 6.43% and 7.42% for the six months ended June 30, 2026 and 2025, respectively.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Credit Facility also provides for a commitment fee in the amount of (a) 0.375% on the unused portion of revolving commitments if average usage of the Credit Facility is greater than 50% and (b) 0.500% on the unused portion of revolving commitments if average usage of the Credit Facility is less than or equal to 50%.</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If excess availability under the Credit Facility falls below the greater of 12.5% of the borrowing base and $31.25 million, we will be required to maintain a fixed charge coverage ratio of at least 1.00:1.00 as of the end of each fiscal quarter until excess availability under the Credit Facility exceeds such threshold for 60 consecutive days.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Subject to customary exceptions, all obligations under the Credit Facility are guaranteed, jointly and severally, by our wholly-owned U.S. subsidiaries and, in the case of the Canadian Line, our wholly-owned Canadian subsidiaries, and are secured by substantially all assets of each such entity and the Company, subject to customary exclusions. Subject to customary exceptions, all obligations under the Credit Facility are further guaranteed by our subsidiaries organized or domiciled under the laws of the United Kingdom or any territory or county thereof and secured by certain assets of such subsidiaries. In certain circumstances, obligations under the Credit Facility may be required to be guaranteed by and secured by the assets of our subsidiaries organized or domiciled under the laws of Germany or any territory or county thereof.</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Credit Facility contains various covenants that, among other things, limit our ability (none of which are absolute) to incur additional indebtedness or issue certain preferred shares, grant certain liens, make certain loans and investments, pay dividends, make distributions or make other restricted payments, enter into mergers or acquisitions unless certain conditions are satisfied, change our lines of business, prepay certain indebtedness, enter into certain affiliate transactions or engage in certain asset dispositions.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v:textbox>
                <w10:wrap type="none"/>
              </v:rect>
            </w:pict>
          </mc:Fallback>
        </mc:AlternateContent>
      </w:r>
    </w:p>
    <w:p>
      <w:pPr>
        <w:pStyle w:val="TextBody"/>
        <w:bidi w:val="0"/>
        <w:spacing w:lineRule="auto" w:line="288" w:before="0" w:after="0"/>
        <w:jc w:val="left"/>
        <w:rPr/>
      </w:pPr>
      <w:hyperlink w:anchor="id4955b7c99bb45f8b6f31f22ad1f940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Forum Energy Technologies, Inc.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(Unaudited)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If an event of default exists under the Credit Facility, the lenders will have the right to accelerate the maturity of the obligations outstanding under the Credit Facility and exercise other rights and remedies. Obligations outstanding under the Credit Facility, however, will be automatically accelerated upon an event of default arising from a bankruptcy or insolvency event. An event of default includes, among other things, nonpayment of principal, interest, fees or other amounts within certain grace periods; representations and warranties proving to be untrue in any material respect; failure to perform or otherwise comply with covenants in the Credit Facility or other loan documents, subject, in certain instances, to grace periods; cross-defaults to certain other indebtedness if such default occurs at the final maturity of such indebtedness or if the effect of such default is to cause, or permit the holders of such indebtedness to cause, the acceleration of such indebtedness; bankruptcy or insolvency events; material monetary judgment defaults; invalidity or unenforceability of the Credit Facility or any other loan document; and the occurrence of a Change of Control (as defined in the Credit Facility).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of June 30, 2026, the Company was in compliance with all of its Credit Facility financial covenants.</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Other Debt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Other debt consists of various finance leases of equipment.</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Letters of Credit and Guarantees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execute letters of credit in the normal course of business to secure the delivery of product from specific vendors and also to guarantee our fulfillment of performance obligations relating to certain large contracts. The Company had $44.9 million and $36.2 million in total outstanding letters of credit as of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 xml:space="preserve">7. Income Taxes </w:t>
      </w:r>
    </w:p>
    <w:p>
      <w:pPr>
        <w:pStyle w:val="TextBody"/>
        <w:bidi w:val="0"/>
        <w:spacing w:lineRule="auto" w:line="288" w:before="100" w:after="100"/>
        <w:jc w:val="both"/>
        <w:rPr/>
      </w:pPr>
      <w:r>
        <w:rPr>
          <w:rFonts w:ascii="Arial;sans-serif" w:hAnsi="Arial;sans-serif"/>
          <w:b w:val="false"/>
          <w:color w:val="000000"/>
          <w:sz w:val="20"/>
        </w:rPr>
        <w:t>For interim periods, our income tax expense or benefit is computed based on our estimated annual effective tax rate and any discrete items that impact the interim periods. For the three and six months ended June 30, 2026, the Company recorded a tax expense</w:t>
      </w:r>
      <w:r>
        <w:rPr>
          <w:color w:val="000000"/>
        </w:rPr>
        <w:t xml:space="preserve"> </w:t>
      </w:r>
      <w:r>
        <w:rPr>
          <w:rFonts w:ascii="Arial;sans-serif" w:hAnsi="Arial;sans-serif"/>
          <w:b w:val="false"/>
          <w:color w:val="000000"/>
          <w:sz w:val="20"/>
        </w:rPr>
        <w:t xml:space="preserve">of $3.6 million and $6.5 million, respectively. For the three and six months ended June 30, 2025, the Company recorded a tax expense of $6.2 million and $10.0 million, respectively. The estimated annual effective tax rates for all periods were impacted by changes in earnings relative to tax expense and by fluctuations in valuation allowances on net operating loss carryforwards. Furthermore, the tax expense or benefit recorded can vary from period to period depending on the Company’s relative mix of earnings and losses by jurisdiction. </w:t>
      </w:r>
    </w:p>
    <w:p>
      <w:pPr>
        <w:pStyle w:val="TextBody"/>
        <w:bidi w:val="0"/>
        <w:spacing w:lineRule="auto" w:line="276" w:before="100" w:after="100"/>
        <w:jc w:val="both"/>
        <w:rPr>
          <w:rFonts w:ascii="Arial;sans-serif" w:hAnsi="Arial;sans-serif"/>
          <w:b w:val="false"/>
          <w:color w:val="000000"/>
          <w:sz w:val="20"/>
        </w:rPr>
      </w:pPr>
      <w:r>
        <w:rPr>
          <w:rFonts w:ascii="Arial;sans-serif" w:hAnsi="Arial;sans-serif"/>
          <w:b w:val="false"/>
          <w:color w:val="000000"/>
          <w:sz w:val="20"/>
        </w:rPr>
        <w:t>The Organization for Economic Co-operation and Development introduced Base Erosion and Profit Shifting (“BEPS”) Pillar 2 rules that impose a global minimum tax rate of 15%. Numerous countries, including European Union member states, have enacted a global minimum tax and more countries are expected to enact similar minimum tax regimes in 2026. Based on current enacted legislation, we do not expect a material impact on our future effective tax rate.</w:t>
      </w:r>
    </w:p>
    <w:p>
      <w:pPr>
        <w:pStyle w:val="TextBody"/>
        <w:bidi w:val="0"/>
        <w:spacing w:lineRule="auto" w:line="276" w:before="100" w:after="100"/>
        <w:jc w:val="both"/>
        <w:rPr>
          <w:rFonts w:ascii="Arial;sans-serif" w:hAnsi="Arial;sans-serif"/>
          <w:b w:val="false"/>
          <w:color w:val="000000"/>
          <w:sz w:val="20"/>
        </w:rPr>
      </w:pPr>
      <w:r>
        <w:rPr>
          <w:rFonts w:ascii="Arial;sans-serif" w:hAnsi="Arial;sans-serif"/>
          <w:b w:val="false"/>
          <w:color w:val="000000"/>
          <w:sz w:val="20"/>
        </w:rPr>
        <w:t>We have deferred tax assets related to net operating loss and other tax carryforwards in the U.S. and in certain states and foreign jurisdictions. We recognize deferred tax assets to the extent that we believe these assets are more likely than not to be realized. In making such a determination, we consider all available positive and negative evidence, including, but not limited to, our recent history of pretax losses over the prior three year period, the goodwill and intangible asset impairments for various reporting units, the future reversals of existing taxable temporary differences, the projected future taxable income or loss and tax planning. We believe that there is a reasonable possibility that within the next 12 months, a portion of the valuation allowance will no longer be needed. Release of the valuation allowance would result in the recognition of certain deferred tax assets and a decrease to income tax expense for the period the release is recorded. However, the exact timing and amount of the valuation allowance release are subject to change on the basis of the level of profitability that we are able to actually achieve. As of June 30, 2026, we do not anticipate being able to fully utilize all of the losses prior to their expiration in the following jurisdictions: the U.S., United Kingdom, Singapore and China. As a result, we have certain valuation allowances against our deferred tax assets as of June 30, 2026.</w:t>
      </w:r>
    </w:p>
    <w:p>
      <w:pPr>
        <w:pStyle w:val="TextBody"/>
        <w:bidi w:val="0"/>
        <w:spacing w:lineRule="auto" w:line="276" w:before="100" w:after="100"/>
        <w:jc w:val="both"/>
        <w:rPr>
          <w:rFonts w:ascii="Arial;sans-serif" w:hAnsi="Arial;sans-serif"/>
          <w:b w:val="false"/>
          <w:color w:val="000000"/>
          <w:sz w:val="20"/>
        </w:rPr>
      </w:pPr>
      <w:r>
        <w:rPr>
          <w:rFonts w:ascii="Arial;sans-serif" w:hAnsi="Arial;sans-serif"/>
          <w:b w:val="false"/>
          <w:color w:val="000000"/>
          <w:sz w:val="20"/>
        </w:rPr>
        <w:t>On July 4, 2025, President Trump signed into law the One Big Beautiful Bill Act ("OBBBA"). The OBBBA includes various provisions, such as the permanent extension of certain expiring provisions of the Tax Cuts and Jobs Act, modifications to the international tax framework and the restoration of favorable tax treatment for certain business provisions. The Company benefits from enhanced tax deductions related to interest, depreciation, and research and development expenses, partially offset by changes in U.S. taxation of foreign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v:textbox>
                <w10:wrap type="none"/>
              </v:rect>
            </w:pict>
          </mc:Fallback>
        </mc:AlternateContent>
      </w:r>
    </w:p>
    <w:p>
      <w:pPr>
        <w:pStyle w:val="TextBody"/>
        <w:bidi w:val="0"/>
        <w:spacing w:lineRule="auto" w:line="288" w:before="0" w:after="0"/>
        <w:jc w:val="left"/>
        <w:rPr/>
      </w:pPr>
      <w:hyperlink w:anchor="id4955b7c99bb45f8b6f31f22ad1f940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Forum Energy Technologies, Inc.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(Unaudited) </w:t>
      </w: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 xml:space="preserve">8. Fair Value Measurements </w:t>
      </w:r>
    </w:p>
    <w:p>
      <w:pPr>
        <w:pStyle w:val="TextBody"/>
        <w:bidi w:val="0"/>
        <w:spacing w:lineRule="auto" w:line="288" w:before="100" w:after="100"/>
        <w:jc w:val="both"/>
        <w:rPr>
          <w:rFonts w:ascii="Arial;sans-serif" w:hAnsi="Arial;sans-serif"/>
          <w:b w:val="false"/>
          <w:color w:val="000000"/>
          <w:sz w:val="20"/>
        </w:rPr>
      </w:pPr>
      <w:r>
        <w:rPr>
          <w:rFonts w:ascii="Arial;sans-serif" w:hAnsi="Arial;sans-serif"/>
          <w:b w:val="false"/>
          <w:color w:val="000000"/>
          <w:sz w:val="20"/>
        </w:rPr>
        <w:t>The Company had $45.0 million and $100.0 million borrowings outstanding under the Credit Facility and 2029 Bonds as of June 30, 2026, respectively. The Credit Facility incurs interest at a variable interest rate and therefore, the carrying amount approximates fair value. The fair value of the debt is classified as a Level 2 measurement because interest rates charged are similar to other financial instruments with similar terms and maturities.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fair value of our 2029 Bonds is estimated using Level 2 inputs in the fair value hierarchy and is based on quoted prices for those or similar instruments. At June 30, 2026, the fair value and the carrying value of our 2029 Bonds approximated $105.2 million and $95.2 million, respectively. At December 31, 2025, the fair value and the carrying value of our 2029 Bonds approximated $103.5 million and $94.6 million, respectively.</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There were no other significant outstanding financial instruments as of June 30, 2026 and December 31, 2025 that required measuring the amounts at fair value on a recurring basis. We did not change our valuation techniques associated with recurring fair value measurements from prior periods, and there were no transfers between levels of the fair value hierarchy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 xml:space="preserve">9. Business Segments </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Company operates in the following two reportable segments: (1) Drilling and Completions and (2) Artificial Lift and Downhole. The Drilling and Completions segment designs, manufactures and supplies products and solutions to the drilling, subsea, coiled tubing, well stimulation and intervention markets, including applications in oil and natural gas, renewable energy, defense and communications. The Artificial Lift and Downhole segment designs, manufactures and supplies products and solutions for the artificial lift, production and infrastructure markets.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Company’s reportable segments are strategic units that offer distinct products and services. They are managed separately since each business segment requires different marketing strategies. Operating segments have not been aggregated as part of a reportable segment. This segmentation is representative of the manner in which our Chief Operating Decision Maker (“CODM”) and our board of directors make decisions on how to allocate resources and assess performance. We consider the CODM to be the Chief Executive Officer.</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CODM evaluates segment performance based on operating income through monitoring actual results compared to strategic plans and forecasts on a quarterly basis. This analysis guides our CODM's decision-making processes, particularly in evaluating segment profitability, optimizing resource allocation, and managing costs effectively.</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Summary financial data by segment follows (in thousands):</w:t>
      </w:r>
    </w:p>
    <w:tbl>
      <w:tblPr>
        <w:tblW w:w="10205" w:type="dxa"/>
        <w:jc w:val="left"/>
        <w:tblInd w:w="0" w:type="dxa"/>
        <w:tblLayout w:type="fixed"/>
        <w:tblCellMar>
          <w:top w:w="28" w:type="dxa"/>
          <w:left w:w="28" w:type="dxa"/>
          <w:bottom w:w="28" w:type="dxa"/>
          <w:right w:w="28" w:type="dxa"/>
        </w:tblCellMar>
      </w:tblPr>
      <w:tblGrid>
        <w:gridCol w:w="656"/>
        <w:gridCol w:w="316"/>
        <w:gridCol w:w="317"/>
        <w:gridCol w:w="109"/>
        <w:gridCol w:w="109"/>
        <w:gridCol w:w="109"/>
        <w:gridCol w:w="220"/>
        <w:gridCol w:w="862"/>
        <w:gridCol w:w="115"/>
        <w:gridCol w:w="109"/>
        <w:gridCol w:w="109"/>
        <w:gridCol w:w="109"/>
        <w:gridCol w:w="214"/>
        <w:gridCol w:w="732"/>
        <w:gridCol w:w="110"/>
        <w:gridCol w:w="109"/>
        <w:gridCol w:w="109"/>
        <w:gridCol w:w="109"/>
        <w:gridCol w:w="211"/>
        <w:gridCol w:w="826"/>
        <w:gridCol w:w="109"/>
        <w:gridCol w:w="109"/>
        <w:gridCol w:w="109"/>
        <w:gridCol w:w="109"/>
        <w:gridCol w:w="220"/>
        <w:gridCol w:w="862"/>
        <w:gridCol w:w="115"/>
        <w:gridCol w:w="109"/>
        <w:gridCol w:w="109"/>
        <w:gridCol w:w="109"/>
        <w:gridCol w:w="213"/>
        <w:gridCol w:w="836"/>
        <w:gridCol w:w="110"/>
        <w:gridCol w:w="109"/>
        <w:gridCol w:w="109"/>
        <w:gridCol w:w="109"/>
        <w:gridCol w:w="211"/>
        <w:gridCol w:w="826"/>
        <w:gridCol w:w="162"/>
      </w:tblGrid>
      <w:tr>
        <w:trPr/>
        <w:tc>
          <w:tcPr>
            <w:tcW w:w="6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3" w:type="dxa"/>
            <w:gridSpan w:val="15"/>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9" w:type="dxa"/>
            <w:gridSpan w:val="15"/>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 2026</w:t>
            </w:r>
          </w:p>
        </w:tc>
      </w:tr>
      <w:tr>
        <w:trPr/>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Drilling and Completions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Artificial Lift and Downhole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Drilling and Completions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Artificial Lift and Downhole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12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from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138,795 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87,422 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226,217 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265,397 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169,520 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434,917 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139,004 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87,422 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226,426 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265,743 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169,520 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435,263 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Elimination of intersegment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consolidated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226,217 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434,917 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103,666 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51,408 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200,216 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102,704 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302,920 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21,623 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19,664 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42,903 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38,882 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81,785 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Segment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13,715 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16,350 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30,065 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22,624 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27,934 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50,558 </w:t>
            </w:r>
          </w:p>
        </w:tc>
        <w:tc>
          <w:tcPr>
            <w:tcW w:w="1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txbxContent>
                </v:textbox>
                <w10:wrap type="none"/>
              </v:rect>
            </w:pict>
          </mc:Fallback>
        </mc:AlternateContent>
      </w:r>
    </w:p>
    <w:p>
      <w:pPr>
        <w:pStyle w:val="TextBody"/>
        <w:bidi w:val="0"/>
        <w:spacing w:lineRule="auto" w:line="288" w:before="0" w:after="0"/>
        <w:jc w:val="left"/>
        <w:rPr/>
      </w:pPr>
      <w:hyperlink w:anchor="id4955b7c99bb45f8b6f31f22ad1f940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Forum Energy Technologies, Inc.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(Unaudited) </w:t>
      </w:r>
    </w:p>
    <w:tbl>
      <w:tblPr>
        <w:tblW w:w="10205" w:type="dxa"/>
        <w:jc w:val="left"/>
        <w:tblInd w:w="0" w:type="dxa"/>
        <w:tblLayout w:type="fixed"/>
        <w:tblCellMar>
          <w:top w:w="28" w:type="dxa"/>
          <w:left w:w="28" w:type="dxa"/>
          <w:bottom w:w="28" w:type="dxa"/>
          <w:right w:w="28" w:type="dxa"/>
        </w:tblCellMar>
      </w:tblPr>
      <w:tblGrid>
        <w:gridCol w:w="656"/>
        <w:gridCol w:w="316"/>
        <w:gridCol w:w="317"/>
        <w:gridCol w:w="109"/>
        <w:gridCol w:w="109"/>
        <w:gridCol w:w="109"/>
        <w:gridCol w:w="220"/>
        <w:gridCol w:w="862"/>
        <w:gridCol w:w="115"/>
        <w:gridCol w:w="109"/>
        <w:gridCol w:w="109"/>
        <w:gridCol w:w="109"/>
        <w:gridCol w:w="214"/>
        <w:gridCol w:w="732"/>
        <w:gridCol w:w="110"/>
        <w:gridCol w:w="109"/>
        <w:gridCol w:w="109"/>
        <w:gridCol w:w="109"/>
        <w:gridCol w:w="211"/>
        <w:gridCol w:w="826"/>
        <w:gridCol w:w="109"/>
        <w:gridCol w:w="109"/>
        <w:gridCol w:w="109"/>
        <w:gridCol w:w="109"/>
        <w:gridCol w:w="220"/>
        <w:gridCol w:w="862"/>
        <w:gridCol w:w="115"/>
        <w:gridCol w:w="109"/>
        <w:gridCol w:w="109"/>
        <w:gridCol w:w="109"/>
        <w:gridCol w:w="213"/>
        <w:gridCol w:w="836"/>
        <w:gridCol w:w="110"/>
        <w:gridCol w:w="109"/>
        <w:gridCol w:w="109"/>
        <w:gridCol w:w="109"/>
        <w:gridCol w:w="211"/>
        <w:gridCol w:w="826"/>
        <w:gridCol w:w="162"/>
      </w:tblGrid>
      <w:tr>
        <w:trPr/>
        <w:tc>
          <w:tcPr>
            <w:tcW w:w="6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3" w:type="dxa"/>
            <w:gridSpan w:val="15"/>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9" w:type="dxa"/>
            <w:gridSpan w:val="15"/>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 2025</w:t>
            </w:r>
          </w:p>
        </w:tc>
      </w:tr>
      <w:tr>
        <w:trPr/>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Drilling and Completions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Artificial Lift and Downhole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Drilling and Completions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Artificial Lift and Downhole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12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from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117,217 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82,547 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199,764 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232,700 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160,343 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393,043 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117,237 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82,547 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199,784 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232,806 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160,343 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393,149 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Elimination of intersegment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consolidated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199,764 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393,043 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88,211 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172,565 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102,867 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275,432 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21,755 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19,939 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43,591 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39,788 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83,379 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Segment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7,271 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10,391 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17,662 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16,650 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17,688 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34,338 </w:t>
            </w:r>
          </w:p>
        </w:tc>
        <w:tc>
          <w:tcPr>
            <w:tcW w:w="1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A reconciliation of segment operating income to income before income taxes is as follows (in thousands):</w:t>
      </w:r>
    </w:p>
    <w:tbl>
      <w:tblPr>
        <w:tblW w:w="9509" w:type="dxa"/>
        <w:jc w:val="left"/>
        <w:tblInd w:w="0" w:type="dxa"/>
        <w:tblLayout w:type="fixed"/>
        <w:tblCellMar>
          <w:top w:w="28" w:type="dxa"/>
          <w:left w:w="28" w:type="dxa"/>
          <w:bottom w:w="28" w:type="dxa"/>
          <w:right w:w="28" w:type="dxa"/>
        </w:tblCellMar>
      </w:tblPr>
      <w:tblGrid>
        <w:gridCol w:w="1520"/>
        <w:gridCol w:w="1335"/>
        <w:gridCol w:w="1344"/>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rPr/>
        <w:tc>
          <w:tcPr>
            <w:tcW w:w="1520"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1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Segment operating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34,338 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corporate expenses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Transaction expenses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sale-leaseback transactions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disposal of assets and other</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exchange losses (gains) and other,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before income taxes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13,919 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23,396 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18,808 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A summary of consolidated assets by reportable segment is as follows (in thousands):</w:t>
      </w:r>
    </w:p>
    <w:tbl>
      <w:tblPr>
        <w:tblW w:w="6011" w:type="dxa"/>
        <w:jc w:val="left"/>
        <w:tblInd w:w="0" w:type="dxa"/>
        <w:tblLayout w:type="fixed"/>
        <w:tblCellMar>
          <w:top w:w="28" w:type="dxa"/>
          <w:left w:w="28" w:type="dxa"/>
          <w:bottom w:w="28" w:type="dxa"/>
          <w:right w:w="28" w:type="dxa"/>
        </w:tblCellMar>
      </w:tblPr>
      <w:tblGrid>
        <w:gridCol w:w="880"/>
        <w:gridCol w:w="773"/>
        <w:gridCol w:w="777"/>
        <w:gridCol w:w="245"/>
        <w:gridCol w:w="994"/>
        <w:gridCol w:w="126"/>
        <w:gridCol w:w="109"/>
        <w:gridCol w:w="109"/>
        <w:gridCol w:w="109"/>
        <w:gridCol w:w="326"/>
        <w:gridCol w:w="1325"/>
        <w:gridCol w:w="238"/>
      </w:tblGrid>
      <w:tr>
        <w:trPr/>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24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Drilling and Completions</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399,816 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385,401 </w:t>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Artificial Lift and Downhole</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345,220 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353,505 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25,674 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13,549 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770,710 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752,455 </w:t>
            </w:r>
          </w:p>
        </w:tc>
        <w:tc>
          <w:tcPr>
            <w:tcW w:w="2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Corporate assets primarily include cash, certain prepaid assets and deferred loan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txbxContent>
                </v:textbox>
                <w10:wrap type="none"/>
              </v:rect>
            </w:pict>
          </mc:Fallback>
        </mc:AlternateContent>
      </w:r>
    </w:p>
    <w:p>
      <w:pPr>
        <w:pStyle w:val="TextBody"/>
        <w:bidi w:val="0"/>
        <w:spacing w:lineRule="auto" w:line="288" w:before="0" w:after="0"/>
        <w:jc w:val="left"/>
        <w:rPr/>
      </w:pPr>
      <w:hyperlink w:anchor="id4955b7c99bb45f8b6f31f22ad1f940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Forum Energy Technologies, Inc.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(Unaudited) </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following table presents our revenues disaggregated by product line (in thousands):</w:t>
      </w:r>
    </w:p>
    <w:tbl>
      <w:tblPr>
        <w:tblW w:w="8279" w:type="dxa"/>
        <w:jc w:val="left"/>
        <w:tblInd w:w="0" w:type="dxa"/>
        <w:tblLayout w:type="fixed"/>
        <w:tblCellMar>
          <w:top w:w="28" w:type="dxa"/>
          <w:left w:w="28" w:type="dxa"/>
          <w:bottom w:w="28" w:type="dxa"/>
          <w:right w:w="28" w:type="dxa"/>
        </w:tblCellMar>
      </w:tblPr>
      <w:tblGrid>
        <w:gridCol w:w="918"/>
        <w:gridCol w:w="809"/>
        <w:gridCol w:w="822"/>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25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Drilling</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68,265 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64,959 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Subsea</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Stimulation and Intervention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70,284 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Coiled Tubing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Downhole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98,952 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Production Equipment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Valve Solutions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Eliminations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revenue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226,217 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199,764 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434,917 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393,043 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presents our revenues disaggregated by geography (in thousands):</w:t>
      </w:r>
    </w:p>
    <w:tbl>
      <w:tblPr>
        <w:tblW w:w="7229" w:type="dxa"/>
        <w:jc w:val="left"/>
        <w:tblInd w:w="0" w:type="dxa"/>
        <w:tblLayout w:type="fixed"/>
        <w:tblCellMar>
          <w:top w:w="28" w:type="dxa"/>
          <w:left w:w="28" w:type="dxa"/>
          <w:bottom w:w="28" w:type="dxa"/>
          <w:right w:w="28" w:type="dxa"/>
        </w:tblCellMar>
      </w:tblPr>
      <w:tblGrid>
        <w:gridCol w:w="543"/>
        <w:gridCol w:w="477"/>
        <w:gridCol w:w="479"/>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14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104,720 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107,276 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197,858 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211,179 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Canada</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 &amp; Africa</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Middle East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Latin America</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Asia-Pacific</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revenue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226,217 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199,764 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434,917 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393,043 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 xml:space="preserve">10. Commitments and Contingencies </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In the ordinary course of business, the Company is, and in the future could be, involved in various pending or threatened legal actions, some of which may or may not be covered by insurance. Management has reviewed such pending judicial and legal proceedings, the reasonably anticipated costs and expenses in connection with such proceedings, and the availability and limits of insurance coverage, and has established reserves that are believed to be appropriate in light of those outcomes that are believed to be probable and can be estimated. The reserves accrued at June 30, 2026 and December 31, 2025, respectively, are immaterial. In the opinion of management, the Company’s ultimate liability, if any, with respect to these actions is not expected to have a material adverse effect on the Company’s financial position, results of operations or cash flows.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For further disclosure regarding certain litigation matters, refer to Note 11 of the notes to the consolidated financial statements included in Item 8 of the Company’s 2025 Annual Report on Form 10-K filed with the SEC on February 27,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txbxContent>
                </v:textbox>
                <w10:wrap type="none"/>
              </v:rect>
            </w:pict>
          </mc:Fallback>
        </mc:AlternateContent>
      </w:r>
    </w:p>
    <w:p>
      <w:pPr>
        <w:pStyle w:val="TextBody"/>
        <w:bidi w:val="0"/>
        <w:spacing w:lineRule="auto" w:line="288" w:before="0" w:after="0"/>
        <w:jc w:val="left"/>
        <w:rPr/>
      </w:pPr>
      <w:hyperlink w:anchor="id4955b7c99bb45f8b6f31f22ad1f940a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Forum Energy Technologies, Inc.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(Unaudited) </w:t>
      </w: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 xml:space="preserve">11. Earnings Per Share </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calculation of basic and diluted earnings per share for each period presented was as follows (dollars and shares in thousands, except per share amounts):</w:t>
      </w:r>
    </w:p>
    <w:tbl>
      <w:tblPr>
        <w:tblW w:w="9659" w:type="dxa"/>
        <w:jc w:val="left"/>
        <w:tblInd w:w="0" w:type="dxa"/>
        <w:tblLayout w:type="fixed"/>
        <w:tblCellMar>
          <w:top w:w="28" w:type="dxa"/>
          <w:left w:w="28" w:type="dxa"/>
          <w:bottom w:w="28" w:type="dxa"/>
          <w:right w:w="28" w:type="dxa"/>
        </w:tblCellMar>
      </w:tblPr>
      <w:tblGrid>
        <w:gridCol w:w="1648"/>
        <w:gridCol w:w="1450"/>
        <w:gridCol w:w="1461"/>
        <w:gridCol w:w="211"/>
        <w:gridCol w:w="751"/>
        <w:gridCol w:w="109"/>
        <w:gridCol w:w="109"/>
        <w:gridCol w:w="109"/>
        <w:gridCol w:w="109"/>
        <w:gridCol w:w="211"/>
        <w:gridCol w:w="646"/>
        <w:gridCol w:w="109"/>
        <w:gridCol w:w="109"/>
        <w:gridCol w:w="109"/>
        <w:gridCol w:w="109"/>
        <w:gridCol w:w="211"/>
        <w:gridCol w:w="751"/>
        <w:gridCol w:w="109"/>
        <w:gridCol w:w="109"/>
        <w:gridCol w:w="109"/>
        <w:gridCol w:w="109"/>
        <w:gridCol w:w="211"/>
        <w:gridCol w:w="646"/>
        <w:gridCol w:w="154"/>
      </w:tblGrid>
      <w:tr>
        <w:trPr/>
        <w:tc>
          <w:tcPr>
            <w:tcW w:w="1648"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5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8,822 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shares outstanding - basic</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Dilutive effect of stock options and restricted stock</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shares outstanding - diluted</w:t>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12,542 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Earnings per share</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For the three and six months ended June 30, 2026, the diluted earnings per share excludes approximately 47 thousand and 57 thousand shares, respectively, and for the three and six months ended June 30, 2025, the diluted earnings per share excludes approximately 28 thousand and 19 thousand shares, respectively, because they were anti-dilutive. Diluted earnings per share was calculated using treasury stock method for the stock options and restricted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4"/>
        </w:rPr>
      </w:pPr>
      <w:r>
        <w:rPr>
          <w:rFonts w:ascii="Arial;sans-serif" w:hAnsi="Arial;sans-serif"/>
          <w:b/>
          <w:color w:val="000000"/>
          <w:sz w:val="24"/>
        </w:rPr>
        <w:t>12. Stock-based Compensation</w:t>
      </w:r>
    </w:p>
    <w:p>
      <w:pPr>
        <w:pStyle w:val="TextBody"/>
        <w:bidi w:val="0"/>
        <w:spacing w:lineRule="auto" w:line="288" w:before="180" w:after="180"/>
        <w:jc w:val="both"/>
        <w:rPr>
          <w:rFonts w:ascii="Arial;sans-serif" w:hAnsi="Arial;sans-serif"/>
          <w:b/>
          <w:i/>
          <w:color w:val="000000"/>
          <w:sz w:val="20"/>
        </w:rPr>
      </w:pPr>
      <w:r>
        <w:rPr>
          <w:rFonts w:ascii="Arial;sans-serif" w:hAnsi="Arial;sans-serif"/>
          <w:b/>
          <w:i/>
          <w:color w:val="000000"/>
          <w:sz w:val="20"/>
        </w:rPr>
        <w:t>Restricted Stock and Time-Based Restricted Stock Units</w:t>
      </w:r>
    </w:p>
    <w:p>
      <w:pPr>
        <w:pStyle w:val="TextBody"/>
        <w:bidi w:val="0"/>
        <w:spacing w:lineRule="auto" w:line="288" w:before="180" w:after="283"/>
        <w:jc w:val="both"/>
        <w:rPr/>
      </w:pPr>
      <w:r>
        <w:rPr>
          <w:rFonts w:ascii="Arial;sans-serif" w:hAnsi="Arial;sans-serif"/>
          <w:b w:val="false"/>
          <w:color w:val="000000"/>
          <w:sz w:val="20"/>
        </w:rPr>
        <w:t>During the six months ended June 30, 2026, the Company granted 63,463 time-based restricted stock units to employees that vest ratably over three years. Also, during the six months ended June 30, 2026, the Company granted 14,239 time-based restricted stock and</w:t>
      </w:r>
      <w:r>
        <w:rPr>
          <w:color w:val="000000"/>
        </w:rPr>
        <w:t xml:space="preserve"> </w:t>
      </w:r>
      <w:r>
        <w:rPr>
          <w:rFonts w:ascii="Arial;sans-serif" w:hAnsi="Arial;sans-serif"/>
          <w:b w:val="false"/>
          <w:color w:val="000000"/>
          <w:sz w:val="20"/>
        </w:rPr>
        <w:t>7,668 time-based restricted stock units to non-employee members of the Board of Directors that vest after one year.</w:t>
      </w:r>
    </w:p>
    <w:p>
      <w:pPr>
        <w:pStyle w:val="TextBody"/>
        <w:bidi w:val="0"/>
        <w:spacing w:lineRule="auto" w:line="288" w:before="180" w:after="180"/>
        <w:jc w:val="both"/>
        <w:rPr>
          <w:rFonts w:ascii="Arial;sans-serif" w:hAnsi="Arial;sans-serif"/>
          <w:b/>
          <w:i/>
          <w:color w:val="000000"/>
          <w:sz w:val="20"/>
        </w:rPr>
      </w:pPr>
      <w:r>
        <w:rPr>
          <w:rFonts w:ascii="Arial;sans-serif" w:hAnsi="Arial;sans-serif"/>
          <w:b/>
          <w:i/>
          <w:color w:val="000000"/>
          <w:sz w:val="20"/>
        </w:rPr>
        <w:t xml:space="preserve">Performance Share Awards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During the six months ended June 30, 2026, the Company granted 31,735 performance restricted stock units (assuming target performance) to employees that vest based upon the Company's total shareholder return compared to the total shareholder return of a group of peer companies over three different performance periods. The performance periods run from January 1, 2026 through December 31, 2026, January 1, 2026 through December 31, 2027 and January 1, 2026 through December 31, 2028, and one-third of each award is allocated to each performance period. The performance restricted stock units may settle for between 0% and 200% of the target units granted.</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During the six months ended June 30, 2026, the Company granted 60,704 performance restricted stock units (assuming target performance) to employees that vest based upon the Company's earnings before interest, taxes, depreciation and amortization expense over the performance period between January 1, 2026 through December 31, 2028. The performance restricted stock units may settle for between 0% and 200% of the target units granted.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420" w:after="283"/>
        <w:jc w:val="both"/>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CAUTIONARY NOTE REGARDING FORWARD-LOOKING STATEMENTS</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 xml:space="preserve">This Quarterly Report on Form 10-Q contains forward-looking statements within the meaning of Section 27A of the Securities Act of 1933, as amended, and Section 21E of the Securities Exchange Act of 1934, as amended (the “Exchange Act”). These forward-looking statements are subject to a number of risks and uncertainties, many of which are beyond the Company’s control. All statements, other than statements of historical fact, included in this Quarterly Report on Form 10-Q regarding our strategy, future operations, financial position, estimated revenues and losses, projected costs, prospects, plans and objectives of management are forward-looking statements. When used in this Quarterly Report on Form 10-Q, the words “will,” “could,” “believe,” “anticipate,” “intend,” “estimate,” “expect,” “may,” “continue,” “predict,” “potential,” “project” and similar expressions are intended to identify forward-looking statements, although not all forward-looking statements contain such identifying words. </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All forward-looking statements speak only as of the date of this Quarterly Report on Form 10-Q. We disclaim any obligation to update or revise these statements unless required by law, and you should not place undue reliance on these forward-looking statements. Although we believe that our plans, intentions and expectations reflected in or suggested by the forward-looking statements we make in this Quarterly Report on Form 10-Q are reasonable, forward-looking statements are not guarantees of future performance and involve risks and uncertainties that may cause actual results to differ materially from our plans, intentions or expectations. This may be the result of various factors, including, but not limited to, those factors discussed in “Risk Factors” and “Management’s Discussion and Analysis of Financial Condition and Results of Operations” in our Annual Report on Form 10-K filed with the SEC on February 27, 2026, and elsewhere in this Quarterly Report on Form 10-Q. These cautionary statements qualify all forward-looking statements attributable to us or persons acting on our behalf.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both"/>
        <w:rPr>
          <w:rFonts w:ascii="Arial;sans-serif" w:hAnsi="Arial;sans-serif"/>
          <w:b/>
          <w:color w:val="000000"/>
          <w:sz w:val="24"/>
        </w:rPr>
      </w:pPr>
      <w:r>
        <w:rPr>
          <w:rFonts w:ascii="Arial;sans-serif" w:hAnsi="Arial;sans-serif"/>
          <w:b/>
          <w:color w:val="000000"/>
          <w:sz w:val="24"/>
        </w:rPr>
        <w:t>Overview</w:t>
      </w:r>
    </w:p>
    <w:p>
      <w:pPr>
        <w:pStyle w:val="TextBody"/>
        <w:bidi w:val="0"/>
        <w:spacing w:lineRule="auto" w:line="288" w:before="180" w:after="120"/>
        <w:jc w:val="both"/>
        <w:rPr>
          <w:rFonts w:ascii="Arial;sans-serif" w:hAnsi="Arial;sans-serif"/>
          <w:b w:val="false"/>
          <w:color w:val="000000"/>
          <w:sz w:val="20"/>
        </w:rPr>
      </w:pPr>
      <w:r>
        <w:rPr>
          <w:rFonts w:ascii="Arial;sans-serif" w:hAnsi="Arial;sans-serif"/>
          <w:b w:val="false"/>
          <w:color w:val="000000"/>
          <w:sz w:val="20"/>
        </w:rPr>
        <w:t>FET optimizes customer operations by improving safety, increasing efficiency, and reducing environmental impact. Our highly engineered products include capital equipment and consumable products. FET’s customers include oil and natural gas operators, oilfield service companies, pipeline and refinery operators, defense contractors and renewable energy companies. Consumable products are used by our customers in drilling, well construction and completion activities and at processing centers and refineries. Our capital products are directed at drilling rig equipment for constructing new or upgrading existing rigs, subsea construction and development projects, submarine rescue systems and equipment for military use, pressure pumping equipment, the placement of production equipment on new producing wells, downstream capital projects and capital equipment for renewable energy projects. For the six months ended June 30, 2026, approximately 75% of our revenue was derived from consumable products and activity-based equipment, while the balance was primarily derived from capital products with a small amount from rental and other services.</w:t>
      </w:r>
    </w:p>
    <w:p>
      <w:pPr>
        <w:pStyle w:val="TextBody"/>
        <w:bidi w:val="0"/>
        <w:spacing w:lineRule="auto" w:line="288" w:before="180" w:after="180"/>
        <w:jc w:val="both"/>
        <w:rPr>
          <w:rFonts w:ascii="Arial;sans-serif" w:hAnsi="Arial;sans-serif"/>
          <w:b w:val="false"/>
          <w:color w:val="000000"/>
          <w:sz w:val="20"/>
        </w:rPr>
      </w:pPr>
      <w:r>
        <w:rPr>
          <w:rFonts w:ascii="Arial;sans-serif" w:hAnsi="Arial;sans-serif"/>
          <w:b w:val="false"/>
          <w:color w:val="000000"/>
          <w:sz w:val="20"/>
        </w:rPr>
        <w:t>We expect that the world’s long-term energy demand will continue to rise for the foreseeable future. Hydrocarbons are expected to play a vital role in meeting the world’s long-term energy needs even as renewable energy sources grow in importance. As such, we are focused on developing products to help oil and natural gas operators lower expenses, increase production, and reduce their emissions while also deploying our technologies in renewable energy applications.</w:t>
      </w:r>
    </w:p>
    <w:p>
      <w:pPr>
        <w:pStyle w:val="TextBody"/>
        <w:bidi w:val="0"/>
        <w:spacing w:lineRule="auto" w:line="288" w:before="180" w:after="120"/>
        <w:jc w:val="both"/>
        <w:rPr/>
      </w:pPr>
      <w:r>
        <w:rPr>
          <w:rFonts w:ascii="Arial;sans-serif" w:hAnsi="Arial;sans-serif"/>
          <w:b w:val="false"/>
          <w:color w:val="000000"/>
          <w:sz w:val="20"/>
        </w:rPr>
        <w:t xml:space="preserve">The Company operates in the following two reportable segments: (1) Drilling and Completions and (2) Artificial Lift and Downhole. Refer to Note 9 </w:t>
      </w:r>
      <w:r>
        <w:rPr>
          <w:rFonts w:ascii="Arial;sans-serif" w:hAnsi="Arial;sans-serif"/>
          <w:b w:val="false"/>
          <w:i/>
          <w:color w:val="000000"/>
          <w:sz w:val="20"/>
        </w:rPr>
        <w:t xml:space="preserve">Business Segments </w:t>
      </w:r>
      <w:r>
        <w:rPr>
          <w:rFonts w:ascii="Arial;sans-serif" w:hAnsi="Arial;sans-serif"/>
          <w:b w:val="false"/>
          <w:color w:val="000000"/>
          <w:sz w:val="20"/>
        </w:rPr>
        <w:t>for the product lines making up each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8"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A summary of the products and services offered by each segment is as follows:</w:t>
      </w:r>
    </w:p>
    <w:p>
      <w:pPr>
        <w:pStyle w:val="TextBody"/>
        <w:bidi w:val="0"/>
        <w:spacing w:lineRule="auto" w:line="288" w:before="180" w:after="120"/>
        <w:ind w:left="0" w:right="0" w:hanging="360"/>
        <w:jc w:val="both"/>
        <w:rPr/>
      </w:pPr>
      <w:r>
        <w:rPr>
          <w:color w:val="000000"/>
        </w:rPr>
        <w:t>•</w:t>
      </w:r>
      <w:r>
        <w:rPr>
          <w:rFonts w:ascii="Arial;sans-serif" w:hAnsi="Arial;sans-serif"/>
          <w:b w:val="false"/>
          <w:i/>
          <w:color w:val="000000"/>
          <w:sz w:val="20"/>
        </w:rPr>
        <w:t>Drilling and Completions</w:t>
      </w:r>
      <w:r>
        <w:rPr>
          <w:rFonts w:ascii="Arial;sans-serif" w:hAnsi="Arial;sans-serif"/>
          <w:b w:val="false"/>
          <w:color w:val="000000"/>
          <w:sz w:val="20"/>
        </w:rPr>
        <w:t>. This segment designs, manufactures and supplies products and solutions to the drilling, subsea, coiled tubing, well stimulation and intervention markets, including applications in the oil and natural gas, renewable energy, defense and communications industries. The products and solutions consist primarily of (i) capital equipment and consumable products used in the drilling process; (ii) capital equipment and aftermarket products including subsea remotely operated vehicles (“ROVs”) and trenchers, submarine rescue vehicles, specialty components and tooling, and technical services; (iii) capital equipment and consumable products sold to the pressure pumping market, including hydraulic fracturing pumps, cooling systems, and high-pressure flexible hoses and flow iron; (iv) wireline cable and pressure control equipment used in the well completion and intervention service markets; and (v) coiled tubing strings and pressure control equipment used in coiled tubing operations, as well as coiled line pipe and related services.</w:t>
      </w:r>
    </w:p>
    <w:p>
      <w:pPr>
        <w:pStyle w:val="TextBody"/>
        <w:bidi w:val="0"/>
        <w:spacing w:lineRule="auto" w:line="288" w:before="180" w:after="120"/>
        <w:ind w:left="0" w:right="0" w:hanging="360"/>
        <w:jc w:val="both"/>
        <w:rPr/>
      </w:pPr>
      <w:r>
        <w:rPr>
          <w:color w:val="000000"/>
        </w:rPr>
        <w:t>•</w:t>
      </w:r>
      <w:r>
        <w:rPr>
          <w:rFonts w:ascii="Arial;sans-serif" w:hAnsi="Arial;sans-serif"/>
          <w:b w:val="false"/>
          <w:i/>
          <w:color w:val="000000"/>
          <w:sz w:val="20"/>
        </w:rPr>
        <w:t>Artificial Lift and Downhole</w:t>
      </w:r>
      <w:r>
        <w:rPr>
          <w:rFonts w:ascii="Arial;sans-serif" w:hAnsi="Arial;sans-serif"/>
          <w:b w:val="false"/>
          <w:color w:val="000000"/>
          <w:sz w:val="20"/>
        </w:rPr>
        <w:t>. This segment designs, manufactures and supplies products and solutions for the artificial lift, well construction, production and infrastructure markets. The products and solutions consist primarily of: (i) products designed to safeguard artificial lift equipment and downhole cables; (ii) well construction casing and cementing equipment; (iii) customized downhole technology solutions, providing sand and flow control products for heavy oil applications; (iv) engineered process systems, production equipment, as well as specialty separation equipment; and (v) a wide range of industrial valves focused on oil and natural gas as well as power generation, renewable energy and other general industrial applications.</w:t>
      </w:r>
    </w:p>
    <w:p>
      <w:pPr>
        <w:pStyle w:val="TextBody"/>
        <w:bidi w:val="0"/>
        <w:spacing w:lineRule="auto" w:line="288" w:before="180" w:after="120"/>
        <w:jc w:val="both"/>
        <w:rPr>
          <w:rFonts w:ascii="Arial;sans-serif" w:hAnsi="Arial;sans-serif"/>
          <w:b/>
          <w:color w:val="000000"/>
          <w:sz w:val="24"/>
        </w:rPr>
      </w:pPr>
      <w:r>
        <w:rPr>
          <w:rFonts w:ascii="Arial;sans-serif" w:hAnsi="Arial;sans-serif"/>
          <w:b/>
          <w:color w:val="000000"/>
          <w:sz w:val="24"/>
        </w:rPr>
        <w:t>Market Conditions</w:t>
      </w:r>
    </w:p>
    <w:p>
      <w:pPr>
        <w:pStyle w:val="TextBody"/>
        <w:bidi w:val="0"/>
        <w:spacing w:lineRule="auto" w:line="276" w:before="120" w:after="283"/>
        <w:jc w:val="both"/>
        <w:rPr>
          <w:rFonts w:ascii="Arial;sans-serif" w:hAnsi="Arial;sans-serif"/>
          <w:b w:val="false"/>
          <w:color w:val="000000"/>
          <w:sz w:val="20"/>
        </w:rPr>
      </w:pPr>
      <w:r>
        <w:rPr>
          <w:rFonts w:ascii="Arial;sans-serif" w:hAnsi="Arial;sans-serif"/>
          <w:b w:val="false"/>
          <w:color w:val="000000"/>
          <w:sz w:val="20"/>
        </w:rPr>
        <w:t>Generally, demand for our products and services is highly correlated with the global drilling rig count. Customer activity and their associated budgets are heavily influenced by forecasted energy prices, production targets and anticipated investment returns. Demand for our capital products is driven by the utilization of service company equipment, which is a function of equipment capacity and durability in demanding environments, as well as equipment replacement cycles and fleet utilization levels.</w:t>
      </w:r>
    </w:p>
    <w:p>
      <w:pPr>
        <w:pStyle w:val="TextBody"/>
        <w:bidi w:val="0"/>
        <w:spacing w:lineRule="auto" w:line="276" w:before="120" w:after="283"/>
        <w:jc w:val="both"/>
        <w:rPr>
          <w:rFonts w:ascii="Arial;sans-serif" w:hAnsi="Arial;sans-serif"/>
          <w:b w:val="false"/>
          <w:color w:val="000000"/>
          <w:sz w:val="20"/>
        </w:rPr>
      </w:pPr>
      <w:r>
        <w:rPr>
          <w:rFonts w:ascii="Arial;sans-serif" w:hAnsi="Arial;sans-serif"/>
          <w:b w:val="false"/>
          <w:color w:val="000000"/>
          <w:sz w:val="20"/>
        </w:rPr>
        <w:t>During the second quarter 2026, global oil and natural gas markets continued to be significantly influenced by Middle East geopolitical developments. Military actions involving the U.S., Israel and Iran contributed early in the quarter to substantial uncertainty in global energy markets and raised concerns regarding supply security. Oil and natural gas markets were particularly focused on the disruption of shipping through the Strait of Hormuz following U.S. and Iranian actions to block all maritime traffic. Near the end of the quarter, the U.S. and Iran announced a memorandum of understanding intended to halt hostilities, and reopen the Strait of Hormuz, and lift sanctions on certain Iranian crude oil supplies. Subsequent to the quarter end, tensions in the region escalated, contributing to heightened uncertainty regarding the ongoing implementation of the memorandum, regional stability, global energy supply and transportation routes.</w:t>
      </w:r>
    </w:p>
    <w:p>
      <w:pPr>
        <w:pStyle w:val="TextBody"/>
        <w:bidi w:val="0"/>
        <w:spacing w:lineRule="auto" w:line="276" w:before="120" w:after="283"/>
        <w:jc w:val="both"/>
        <w:rPr>
          <w:rFonts w:ascii="Arial;sans-serif" w:hAnsi="Arial;sans-serif"/>
          <w:b w:val="false"/>
          <w:color w:val="000000"/>
          <w:sz w:val="20"/>
        </w:rPr>
      </w:pPr>
      <w:r>
        <w:rPr>
          <w:rFonts w:ascii="Arial;sans-serif" w:hAnsi="Arial;sans-serif"/>
          <w:b w:val="false"/>
          <w:color w:val="000000"/>
          <w:sz w:val="20"/>
        </w:rPr>
        <w:t xml:space="preserve">Over the course of the quarter, energy markets experienced heightened volatility, driven by reduced export capacity, constrained shipping activity in the region and the incorporation of a risk premium into commodity prices. Crude oil prices increased during portions of the quarter, as market participants reacted to both actual and potential disruptions in global supply. While oil prices stabilized near the end of the quarter as market confidence improved regarding diplomatic negotiations and global crude oil supply, prices remained sensitive to geopolitical developments. Natural gas prices decreased in the quarter due to strong supply growth and seasonality. </w:t>
      </w:r>
    </w:p>
    <w:p>
      <w:pPr>
        <w:pStyle w:val="TextBody"/>
        <w:bidi w:val="0"/>
        <w:spacing w:lineRule="auto" w:line="276" w:before="120" w:after="283"/>
        <w:jc w:val="both"/>
        <w:rPr>
          <w:rFonts w:ascii="Arial;sans-serif" w:hAnsi="Arial;sans-serif"/>
          <w:b w:val="false"/>
          <w:color w:val="000000"/>
          <w:sz w:val="20"/>
        </w:rPr>
      </w:pPr>
      <w:r>
        <w:rPr>
          <w:rFonts w:ascii="Arial;sans-serif" w:hAnsi="Arial;sans-serif"/>
          <w:b w:val="false"/>
          <w:color w:val="000000"/>
          <w:sz w:val="20"/>
        </w:rPr>
        <w:t>Despite the elevated energy prices, global average active rig counts decreased compared to the first quarter 2026 and remained below the prior</w:t>
        <w:noBreakHyphen/>
        <w:t>year period, reflecting continued capital discipline and expectations for a near term resolution to the Middle East conflicts. Looking forward, while commodity prices are expected to continue to fluctuate due to geopolitical developments, we expect customers to maintain their focus on capital discipline, operational efficiency and investment returns. However, we continue to believe that long</w:t>
        <w:noBreakHyphen/>
        <w:t>term global energy demand, ongoing production declines in mature fields, and customer focus on efficiency, safety, and emissions reduction will continue to support demand for our products and technologies over the long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9"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283"/>
        <w:jc w:val="both"/>
        <w:rPr>
          <w:rFonts w:ascii="Arial;sans-serif" w:hAnsi="Arial;sans-serif"/>
          <w:b w:val="false"/>
          <w:color w:val="000000"/>
          <w:sz w:val="20"/>
        </w:rPr>
      </w:pPr>
      <w:r>
        <w:rPr>
          <w:rFonts w:ascii="Arial;sans-serif" w:hAnsi="Arial;sans-serif"/>
          <w:b w:val="false"/>
          <w:color w:val="000000"/>
          <w:sz w:val="20"/>
        </w:rPr>
        <w:t>The table below shows average crude oil and natural gas prices for West Texas Intermediate (“WTI”), Brent and Henry Hub. Average crude oil prices during the second quarter 2026 increased compared to the prior year. The higher prices reflected tightening global supply due to the geopolitical uncertainty in Middle East.</w:t>
      </w:r>
    </w:p>
    <w:tbl>
      <w:tblPr>
        <w:tblW w:w="7988" w:type="dxa"/>
        <w:jc w:val="left"/>
        <w:tblInd w:w="0" w:type="dxa"/>
        <w:tblLayout w:type="fixed"/>
        <w:tblCellMar>
          <w:top w:w="28" w:type="dxa"/>
          <w:left w:w="28" w:type="dxa"/>
          <w:bottom w:w="28" w:type="dxa"/>
          <w:right w:w="28" w:type="dxa"/>
        </w:tblCellMar>
      </w:tblPr>
      <w:tblGrid>
        <w:gridCol w:w="1497"/>
        <w:gridCol w:w="1316"/>
        <w:gridCol w:w="1326"/>
        <w:gridCol w:w="109"/>
        <w:gridCol w:w="211"/>
        <w:gridCol w:w="751"/>
        <w:gridCol w:w="109"/>
        <w:gridCol w:w="109"/>
        <w:gridCol w:w="109"/>
        <w:gridCol w:w="109"/>
        <w:gridCol w:w="219"/>
        <w:gridCol w:w="672"/>
        <w:gridCol w:w="113"/>
        <w:gridCol w:w="109"/>
        <w:gridCol w:w="109"/>
        <w:gridCol w:w="109"/>
        <w:gridCol w:w="211"/>
        <w:gridCol w:w="646"/>
        <w:gridCol w:w="154"/>
      </w:tblGrid>
      <w:tr>
        <w:trPr/>
        <w:tc>
          <w:tcPr>
            <w:tcW w:w="1497"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0" w:type="dxa"/>
            <w:gridSpan w:val="15"/>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1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Average global oil, $/bbl</w:t>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WTI</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72.74 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Brent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80.72 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Average North American Natural Gas, $/Mcf</w:t>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Henry Hub</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both"/>
        <w:rPr>
          <w:rFonts w:ascii="Arial;sans-serif" w:hAnsi="Arial;sans-serif"/>
          <w:b w:val="false"/>
          <w:color w:val="000000"/>
          <w:sz w:val="20"/>
        </w:rPr>
      </w:pPr>
      <w:r>
        <w:rPr>
          <w:rFonts w:ascii="Arial;sans-serif" w:hAnsi="Arial;sans-serif"/>
          <w:b w:val="false"/>
          <w:color w:val="000000"/>
          <w:sz w:val="20"/>
        </w:rPr>
        <w:t>The table below shows the average number of active drilling rigs operating by geographic area and drilling for different purposes based on the weekly rig count information published by Baker Hughes Company. In the third quarter of 2025, Baker Hughes implemented a revised methodology for counting rigs, primarily affecting data pertaining to Saudi Arabia. Consequently, international rig counts reported for the prior period have been adjusted accordingly and may now vary from figures presented in previous disclosures.</w:t>
      </w:r>
    </w:p>
    <w:tbl>
      <w:tblPr>
        <w:tblW w:w="6262" w:type="dxa"/>
        <w:jc w:val="left"/>
        <w:tblInd w:w="0" w:type="dxa"/>
        <w:tblLayout w:type="fixed"/>
        <w:tblCellMar>
          <w:top w:w="28" w:type="dxa"/>
          <w:left w:w="28" w:type="dxa"/>
          <w:bottom w:w="28" w:type="dxa"/>
          <w:right w:w="28" w:type="dxa"/>
        </w:tblCellMar>
      </w:tblPr>
      <w:tblGrid>
        <w:gridCol w:w="841"/>
        <w:gridCol w:w="739"/>
        <w:gridCol w:w="744"/>
        <w:gridCol w:w="109"/>
        <w:gridCol w:w="394"/>
        <w:gridCol w:w="294"/>
        <w:gridCol w:w="296"/>
        <w:gridCol w:w="135"/>
        <w:gridCol w:w="135"/>
        <w:gridCol w:w="135"/>
        <w:gridCol w:w="334"/>
        <w:gridCol w:w="334"/>
        <w:gridCol w:w="336"/>
        <w:gridCol w:w="135"/>
        <w:gridCol w:w="135"/>
        <w:gridCol w:w="135"/>
        <w:gridCol w:w="365"/>
        <w:gridCol w:w="281"/>
        <w:gridCol w:w="385"/>
      </w:tblGrid>
      <w:tr>
        <w:trPr/>
        <w:tc>
          <w:tcPr>
            <w:tcW w:w="84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9" w:type="dxa"/>
            <w:gridSpan w:val="15"/>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23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Active Rigs by Location</w:t>
            </w:r>
          </w:p>
        </w:tc>
        <w:tc>
          <w:tcPr>
            <w:tcW w:w="109" w:type="dxa"/>
            <w:tcBorders/>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Canada</w:t>
            </w:r>
          </w:p>
        </w:tc>
        <w:tc>
          <w:tcPr>
            <w:tcW w:w="109" w:type="dxa"/>
            <w:tcBorders/>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International</w:t>
            </w:r>
          </w:p>
        </w:tc>
        <w:tc>
          <w:tcPr>
            <w:tcW w:w="109" w:type="dxa"/>
            <w:tcBorders/>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1,056 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1,078 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Global Active Rigs</w:t>
            </w:r>
          </w:p>
        </w:tc>
        <w:tc>
          <w:tcPr>
            <w:tcW w:w="109" w:type="dxa"/>
            <w:tcBorders/>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1,759 </w:t>
            </w:r>
          </w:p>
        </w:tc>
        <w:tc>
          <w:tcPr>
            <w:tcW w:w="2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1,832 </w:t>
            </w:r>
          </w:p>
        </w:tc>
        <w:tc>
          <w:tcPr>
            <w:tcW w:w="3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1,777 </w:t>
            </w:r>
          </w:p>
        </w:tc>
        <w:tc>
          <w:tcPr>
            <w:tcW w:w="3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Land vs. Offshore Rigs</w:t>
            </w:r>
          </w:p>
        </w:tc>
        <w:tc>
          <w:tcPr>
            <w:tcW w:w="109" w:type="dxa"/>
            <w:tcBorders/>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Land</w:t>
            </w:r>
          </w:p>
        </w:tc>
        <w:tc>
          <w:tcPr>
            <w:tcW w:w="109" w:type="dxa"/>
            <w:tcBorders/>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1,510 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1,582 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1,527 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Offshore</w:t>
            </w:r>
          </w:p>
        </w:tc>
        <w:tc>
          <w:tcPr>
            <w:tcW w:w="109" w:type="dxa"/>
            <w:tcBorders/>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Global Active Rigs</w:t>
            </w:r>
          </w:p>
        </w:tc>
        <w:tc>
          <w:tcPr>
            <w:tcW w:w="109" w:type="dxa"/>
            <w:tcBorders/>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1,759 </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1,832 </w:t>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1,777 </w:t>
            </w:r>
          </w:p>
        </w:tc>
        <w:tc>
          <w:tcPr>
            <w:tcW w:w="3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U.S. Commodity Target</w:t>
            </w:r>
          </w:p>
        </w:tc>
        <w:tc>
          <w:tcPr>
            <w:tcW w:w="109" w:type="dxa"/>
            <w:tcBorders/>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Oil</w:t>
            </w:r>
          </w:p>
        </w:tc>
        <w:tc>
          <w:tcPr>
            <w:tcW w:w="109" w:type="dxa"/>
            <w:tcBorders/>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Gas</w:t>
            </w:r>
          </w:p>
        </w:tc>
        <w:tc>
          <w:tcPr>
            <w:tcW w:w="109" w:type="dxa"/>
            <w:tcBorders/>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Unclassified</w:t>
            </w:r>
          </w:p>
        </w:tc>
        <w:tc>
          <w:tcPr>
            <w:tcW w:w="109" w:type="dxa"/>
            <w:tcBorders/>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U.S. Active Rigs</w:t>
            </w:r>
          </w:p>
        </w:tc>
        <w:tc>
          <w:tcPr>
            <w:tcW w:w="109" w:type="dxa"/>
            <w:tcBorders/>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554 </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548 </w:t>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571 </w:t>
            </w:r>
          </w:p>
        </w:tc>
        <w:tc>
          <w:tcPr>
            <w:tcW w:w="3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U.S. Well Path</w:t>
            </w:r>
          </w:p>
        </w:tc>
        <w:tc>
          <w:tcPr>
            <w:tcW w:w="109" w:type="dxa"/>
            <w:tcBorders/>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Horizontal</w:t>
            </w:r>
          </w:p>
        </w:tc>
        <w:tc>
          <w:tcPr>
            <w:tcW w:w="109" w:type="dxa"/>
            <w:tcBorders/>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482 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515 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Vertical</w:t>
            </w:r>
          </w:p>
        </w:tc>
        <w:tc>
          <w:tcPr>
            <w:tcW w:w="109" w:type="dxa"/>
            <w:tcBorders/>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Directional</w:t>
            </w:r>
          </w:p>
        </w:tc>
        <w:tc>
          <w:tcPr>
            <w:tcW w:w="109" w:type="dxa"/>
            <w:tcBorders/>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U.S. Active Rigs</w:t>
            </w:r>
          </w:p>
        </w:tc>
        <w:tc>
          <w:tcPr>
            <w:tcW w:w="109" w:type="dxa"/>
            <w:tcBorders/>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554 </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548 </w:t>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571 </w:t>
            </w:r>
          </w:p>
        </w:tc>
        <w:tc>
          <w:tcPr>
            <w:tcW w:w="3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20"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180" w:after="180"/>
        <w:jc w:val="left"/>
        <w:rPr>
          <w:rFonts w:ascii="Arial;sans-serif" w:hAnsi="Arial;sans-serif"/>
          <w:b w:val="false"/>
          <w:color w:val="000000"/>
          <w:sz w:val="20"/>
        </w:rPr>
      </w:pPr>
      <w:r>
        <w:rPr>
          <w:rFonts w:ascii="Arial;sans-serif" w:hAnsi="Arial;sans-serif"/>
          <w:b w:val="false"/>
          <w:color w:val="000000"/>
          <w:sz w:val="20"/>
        </w:rPr>
        <w:t>The table below shows the amount of total inbound orders by segment:</w:t>
      </w:r>
    </w:p>
    <w:tbl>
      <w:tblPr>
        <w:tblW w:w="9663" w:type="dxa"/>
        <w:jc w:val="left"/>
        <w:tblInd w:w="0" w:type="dxa"/>
        <w:tblLayout w:type="fixed"/>
        <w:tblCellMar>
          <w:top w:w="28" w:type="dxa"/>
          <w:left w:w="28" w:type="dxa"/>
          <w:bottom w:w="28" w:type="dxa"/>
          <w:right w:w="28" w:type="dxa"/>
        </w:tblCellMar>
      </w:tblPr>
      <w:tblGrid>
        <w:gridCol w:w="880"/>
        <w:gridCol w:w="774"/>
        <w:gridCol w:w="776"/>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88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 thousands of dollars)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24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Drilling and Completions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144,308 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135,458 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177,792 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279,766 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309,926 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Artificial Lift and Downhole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153,893 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Orders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235,939 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221,168 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263,130 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457,107 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463,819 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1"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Arial;sans-serif" w:hAnsi="Arial;sans-serif"/>
          <w:b/>
          <w:color w:val="000000"/>
          <w:sz w:val="24"/>
        </w:rPr>
      </w:pPr>
      <w:r>
        <w:rPr>
          <w:rFonts w:ascii="Arial;sans-serif" w:hAnsi="Arial;sans-serif"/>
          <w:b/>
          <w:color w:val="000000"/>
          <w:sz w:val="24"/>
        </w:rPr>
        <w:t xml:space="preserve">Results of operations </w:t>
      </w:r>
    </w:p>
    <w:p>
      <w:pPr>
        <w:pStyle w:val="TextBody"/>
        <w:bidi w:val="0"/>
        <w:spacing w:lineRule="auto" w:line="288" w:before="180" w:after="283"/>
        <w:jc w:val="both"/>
        <w:rPr>
          <w:rFonts w:ascii="Arial;sans-serif" w:hAnsi="Arial;sans-serif"/>
          <w:b/>
          <w:i/>
          <w:color w:val="000000"/>
          <w:sz w:val="22"/>
        </w:rPr>
      </w:pPr>
      <w:r>
        <w:rPr>
          <w:rFonts w:ascii="Arial;sans-serif" w:hAnsi="Arial;sans-serif"/>
          <w:b/>
          <w:i/>
          <w:color w:val="000000"/>
          <w:sz w:val="22"/>
        </w:rPr>
        <w:t>Three months ended June 30, 2026 compared with three months ended June 30, 2025</w:t>
      </w:r>
    </w:p>
    <w:tbl>
      <w:tblPr>
        <w:tblW w:w="10205" w:type="dxa"/>
        <w:jc w:val="left"/>
        <w:tblInd w:w="0" w:type="dxa"/>
        <w:tblLayout w:type="fixed"/>
        <w:tblCellMar>
          <w:top w:w="28" w:type="dxa"/>
          <w:left w:w="28" w:type="dxa"/>
          <w:bottom w:w="28" w:type="dxa"/>
          <w:right w:w="28" w:type="dxa"/>
        </w:tblCellMar>
      </w:tblPr>
      <w:tblGrid>
        <w:gridCol w:w="1638"/>
        <w:gridCol w:w="1411"/>
        <w:gridCol w:w="1419"/>
        <w:gridCol w:w="211"/>
        <w:gridCol w:w="856"/>
        <w:gridCol w:w="286"/>
        <w:gridCol w:w="109"/>
        <w:gridCol w:w="109"/>
        <w:gridCol w:w="109"/>
        <w:gridCol w:w="211"/>
        <w:gridCol w:w="856"/>
        <w:gridCol w:w="286"/>
        <w:gridCol w:w="109"/>
        <w:gridCol w:w="109"/>
        <w:gridCol w:w="109"/>
        <w:gridCol w:w="211"/>
        <w:gridCol w:w="751"/>
        <w:gridCol w:w="109"/>
        <w:gridCol w:w="109"/>
        <w:gridCol w:w="109"/>
        <w:gridCol w:w="109"/>
        <w:gridCol w:w="322"/>
        <w:gridCol w:w="324"/>
        <w:gridCol w:w="333"/>
      </w:tblGrid>
      <w:tr>
        <w:trPr/>
        <w:tc>
          <w:tcPr>
            <w:tcW w:w="1638"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446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44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 thousands of dollars, except per share information)</w:t>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446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Drilling and Completions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139,004 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117,237 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Artificial Lift and Downhole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87,422 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82,547 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Eliminations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revenue</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226,217 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199,764 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Segment operating income</w:t>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Drilling and Completions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13,715 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7,271 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88.6 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Operating margin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9.9 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6.2 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Artificial Lift and Downhole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16,350 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10,391 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57.3 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Operating margin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18.7 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12.6 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(8,973)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(9,491)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segment operating income</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21,092 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8,171 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158.1 </w:t>
            </w:r>
          </w:p>
        </w:tc>
        <w:tc>
          <w:tcPr>
            <w:tcW w:w="3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Operating margin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9.3 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4.1 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Transaction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468"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sale-leaseback transactions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disposal of assets and other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20,507 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14,683 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exchange losses (gains) and other,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(3,942)</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468"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other expense</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4,498 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764 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488.7 </w:t>
            </w:r>
          </w:p>
        </w:tc>
        <w:tc>
          <w:tcPr>
            <w:tcW w:w="3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before income taxes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16,009 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13,919 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6,219 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12,407 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7,700 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shares outstanding</w:t>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11,290 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12,350 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11,773 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12,554 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per share</w:t>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 not meaningful</w:t>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2"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120" w:after="120"/>
        <w:jc w:val="both"/>
        <w:rPr/>
      </w:pPr>
      <w:r>
        <w:rPr>
          <w:rFonts w:ascii="Arial;sans-serif" w:hAnsi="Arial;sans-serif"/>
          <w:b w:val="false"/>
          <w:i/>
          <w:color w:val="000000"/>
          <w:sz w:val="20"/>
        </w:rPr>
        <w:t>Our</w:t>
      </w:r>
      <w:r>
        <w:rPr>
          <w:color w:val="000000"/>
        </w:rPr>
        <w:t xml:space="preserve"> </w:t>
      </w:r>
      <w:r>
        <w:rPr>
          <w:rFonts w:ascii="Arial;sans-serif" w:hAnsi="Arial;sans-serif"/>
          <w:b w:val="false"/>
          <w:color w:val="000000"/>
          <w:sz w:val="20"/>
        </w:rPr>
        <w:t>revenue for the three months ended June 30, 2026 was $226.2 million, an increase of $26.5 million, or 13.2%, compared to the three months ended June 30, 2025. For the three months ended June 30, 2026, our Drilling and Completions and our Artificial Lift and Downhole segments comprised 61.4% and 38.6% of our total revenue, respectively, compared to 58.7% and 41.3% of our total revenue, respectively, for the three months ended June 30, 2025. The changes in revenue by operating segment consisted of the following:</w:t>
      </w:r>
    </w:p>
    <w:p>
      <w:pPr>
        <w:pStyle w:val="TextBody"/>
        <w:bidi w:val="0"/>
        <w:spacing w:lineRule="auto" w:line="288" w:before="120" w:after="120"/>
        <w:jc w:val="both"/>
        <w:rPr/>
      </w:pPr>
      <w:r>
        <w:rPr>
          <w:rFonts w:ascii="Arial;sans-serif" w:hAnsi="Arial;sans-serif"/>
          <w:b w:val="false"/>
          <w:i/>
          <w:color w:val="000000"/>
          <w:sz w:val="20"/>
        </w:rPr>
        <w:t xml:space="preserve">Drilling and Completions segment </w:t>
      </w:r>
      <w:r>
        <w:rPr>
          <w:color w:val="000000"/>
        </w:rPr>
        <w:t xml:space="preserve">— </w:t>
      </w:r>
      <w:r>
        <w:rPr>
          <w:rFonts w:ascii="Arial;sans-serif" w:hAnsi="Arial;sans-serif"/>
          <w:b w:val="false"/>
          <w:color w:val="000000"/>
          <w:sz w:val="20"/>
        </w:rPr>
        <w:t>Revenue was $139.0 million for the three months ended June 30, 2026, an increase of $21.8 million, or 18.6%, compared to the three months ended June 30, 2025. The increase was primarily attributable to higher revenue recognized from ROVs and part sales in the Subsea product line, as well as increased demand for wireline cable, coiled tubing and drilling-related capital products.</w:t>
      </w:r>
    </w:p>
    <w:p>
      <w:pPr>
        <w:pStyle w:val="TextBody"/>
        <w:bidi w:val="0"/>
        <w:spacing w:lineRule="auto" w:line="288" w:before="120" w:after="120"/>
        <w:jc w:val="both"/>
        <w:rPr/>
      </w:pPr>
      <w:r>
        <w:rPr>
          <w:rFonts w:ascii="Arial;sans-serif" w:hAnsi="Arial;sans-serif"/>
          <w:b w:val="false"/>
          <w:i/>
          <w:color w:val="000000"/>
          <w:sz w:val="20"/>
        </w:rPr>
        <w:t xml:space="preserve">Artificial Lift and Downhole segment </w:t>
      </w:r>
      <w:r>
        <w:rPr>
          <w:color w:val="000000"/>
        </w:rPr>
        <w:t xml:space="preserve">— </w:t>
      </w:r>
      <w:r>
        <w:rPr>
          <w:rFonts w:ascii="Arial;sans-serif" w:hAnsi="Arial;sans-serif"/>
          <w:b w:val="false"/>
          <w:color w:val="000000"/>
          <w:sz w:val="20"/>
        </w:rPr>
        <w:t>Revenue was $87.4 million for the three months ended June 30, 2026, an increase of $4.9 million, or 5.9%, compared to the three months ended June 30, 2025. The increase in revenue was primarily attributable to higher sand and flow control product sales, as well as higher valve product sales reflecting the absence of prior-year period tariff</w:t>
        <w:noBreakHyphen/>
        <w:t>related sales impacts. These increases were partially offset by lower demand for production equipment and technologies.</w:t>
      </w:r>
    </w:p>
    <w:p>
      <w:pPr>
        <w:pStyle w:val="TextBody"/>
        <w:bidi w:val="0"/>
        <w:spacing w:lineRule="auto" w:line="288" w:before="160" w:after="120"/>
        <w:jc w:val="both"/>
        <w:rPr>
          <w:rFonts w:ascii="Arial;sans-serif" w:hAnsi="Arial;sans-serif"/>
          <w:b/>
          <w:i/>
          <w:color w:val="000000"/>
          <w:sz w:val="20"/>
        </w:rPr>
      </w:pPr>
      <w:r>
        <w:rPr>
          <w:rFonts w:ascii="Arial;sans-serif" w:hAnsi="Arial;sans-serif"/>
          <w:b/>
          <w:i/>
          <w:color w:val="000000"/>
          <w:sz w:val="20"/>
        </w:rPr>
        <w:t>Segment operating income and segment operating margin percentage</w:t>
      </w:r>
    </w:p>
    <w:p>
      <w:pPr>
        <w:pStyle w:val="TextBody"/>
        <w:bidi w:val="0"/>
        <w:spacing w:lineRule="auto" w:line="288" w:before="120" w:after="283"/>
        <w:jc w:val="both"/>
        <w:rPr/>
      </w:pPr>
      <w:r>
        <w:rPr>
          <w:rFonts w:ascii="Arial;sans-serif" w:hAnsi="Arial;sans-serif"/>
          <w:b w:val="false"/>
          <w:color w:val="000000"/>
          <w:sz w:val="20"/>
        </w:rPr>
        <w:t>Segment operating income for the three months ended June 30, 2026 was $21.1 million, a $12.9 million increase compared to income</w:t>
      </w:r>
      <w:r>
        <w:rPr>
          <w:color w:val="000000"/>
        </w:rPr>
        <w:t xml:space="preserve"> </w:t>
      </w:r>
      <w:r>
        <w:rPr>
          <w:rFonts w:ascii="Arial;sans-serif" w:hAnsi="Arial;sans-serif"/>
          <w:b w:val="false"/>
          <w:color w:val="000000"/>
          <w:sz w:val="20"/>
        </w:rPr>
        <w:t>of $8.2 million for the three months ended June 30, 2025. For the three months ended June 30, 2026, segment operating margin percentage was 9.3% compared to 4.1% for the three months ended June 30, 2025. Segment operating margin percentage is calculated by dividing segment operating income (loss) by revenue for the period. The change in operating income for each segment is explained as follows:</w:t>
      </w:r>
    </w:p>
    <w:p>
      <w:pPr>
        <w:pStyle w:val="TextBody"/>
        <w:bidi w:val="0"/>
        <w:spacing w:lineRule="auto" w:line="288" w:before="120" w:after="120"/>
        <w:jc w:val="both"/>
        <w:rPr/>
      </w:pPr>
      <w:r>
        <w:rPr>
          <w:rFonts w:ascii="Arial;sans-serif" w:hAnsi="Arial;sans-serif"/>
          <w:b w:val="false"/>
          <w:i/>
          <w:color w:val="000000"/>
          <w:sz w:val="20"/>
        </w:rPr>
        <w:t xml:space="preserve">Drilling and Completions segment </w:t>
      </w:r>
      <w:r>
        <w:rPr>
          <w:color w:val="000000"/>
        </w:rPr>
        <w:t xml:space="preserve">— </w:t>
      </w:r>
      <w:r>
        <w:rPr>
          <w:rFonts w:ascii="Arial;sans-serif" w:hAnsi="Arial;sans-serif"/>
          <w:b w:val="false"/>
          <w:color w:val="000000"/>
          <w:sz w:val="20"/>
        </w:rPr>
        <w:t>Segment operating income was $13.7 million, or 9.9%, for the three months ended June 30, 2026 compared to income of $7.3 million, or 6.2%, for the three months ended June 30, 2025. The $6.4 million increase in segment operating results was driven by revenue growth across all product lines, as well as benefits from cost savings initiatives including the Company’s strategic decision to consolidate facilities in the second half of the prior year.</w:t>
      </w:r>
    </w:p>
    <w:p>
      <w:pPr>
        <w:pStyle w:val="TextBody"/>
        <w:bidi w:val="0"/>
        <w:spacing w:lineRule="auto" w:line="288" w:before="120" w:after="120"/>
        <w:jc w:val="both"/>
        <w:rPr/>
      </w:pPr>
      <w:r>
        <w:rPr>
          <w:rFonts w:ascii="Arial;sans-serif" w:hAnsi="Arial;sans-serif"/>
          <w:b w:val="false"/>
          <w:i/>
          <w:color w:val="000000"/>
          <w:sz w:val="20"/>
        </w:rPr>
        <w:t xml:space="preserve">Artificial Lift and Downhole segment </w:t>
      </w:r>
      <w:r>
        <w:rPr>
          <w:color w:val="000000"/>
        </w:rPr>
        <w:t xml:space="preserve">— </w:t>
      </w:r>
      <w:r>
        <w:rPr>
          <w:rFonts w:ascii="Arial;sans-serif" w:hAnsi="Arial;sans-serif"/>
          <w:b w:val="false"/>
          <w:color w:val="000000"/>
          <w:sz w:val="20"/>
        </w:rPr>
        <w:t>Segment operating income was $16.4 million, or 18.7%, for the three months ended June 30, 2026 compared to $10.4 million, or 12.6%, for the three months ended June 30, 2025. The $6.0 million increase was primarily driven by increased sales volume, favorable product mix, operating leverage and benefits from cost savings initiatives.</w:t>
      </w:r>
    </w:p>
    <w:p>
      <w:pPr>
        <w:pStyle w:val="TextBody"/>
        <w:bidi w:val="0"/>
        <w:spacing w:lineRule="auto" w:line="288" w:before="120" w:after="120"/>
        <w:jc w:val="both"/>
        <w:rPr/>
      </w:pPr>
      <w:r>
        <w:rPr>
          <w:rFonts w:ascii="Arial;sans-serif" w:hAnsi="Arial;sans-serif"/>
          <w:b w:val="false"/>
          <w:i/>
          <w:color w:val="000000"/>
          <w:sz w:val="20"/>
        </w:rPr>
        <w:t xml:space="preserve">Corporate </w:t>
      </w:r>
      <w:r>
        <w:rPr>
          <w:color w:val="000000"/>
        </w:rPr>
        <w:t xml:space="preserve">— </w:t>
      </w:r>
      <w:r>
        <w:rPr>
          <w:rFonts w:ascii="Arial;sans-serif" w:hAnsi="Arial;sans-serif"/>
          <w:b w:val="false"/>
          <w:color w:val="000000"/>
          <w:sz w:val="20"/>
        </w:rPr>
        <w:t>Selling, general and administrative expenses for Corporate were $9.0 million for the three months ended June 30, 2026, comparable to the three months ended June 30, 2025.</w:t>
      </w:r>
    </w:p>
    <w:p>
      <w:pPr>
        <w:pStyle w:val="TextBody"/>
        <w:bidi w:val="0"/>
        <w:spacing w:lineRule="auto" w:line="288" w:before="160" w:after="180"/>
        <w:jc w:val="both"/>
        <w:rPr>
          <w:rFonts w:ascii="Arial;sans-serif" w:hAnsi="Arial;sans-serif"/>
          <w:b/>
          <w:i/>
          <w:color w:val="000000"/>
          <w:sz w:val="20"/>
        </w:rPr>
      </w:pPr>
      <w:r>
        <w:rPr>
          <w:rFonts w:ascii="Arial;sans-serif" w:hAnsi="Arial;sans-serif"/>
          <w:b/>
          <w:i/>
          <w:color w:val="000000"/>
          <w:sz w:val="20"/>
        </w:rPr>
        <w:t>Other items not included in segment operating income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Transaction expenses, gain on sale-leaseback transactions, and gain (loss) on the disposal of assets and other are not included in segment operating income, but are included in total operating income.</w:t>
      </w:r>
    </w:p>
    <w:p>
      <w:pPr>
        <w:pStyle w:val="TextBody"/>
        <w:bidi w:val="0"/>
        <w:spacing w:lineRule="auto" w:line="288" w:before="160" w:after="283"/>
        <w:jc w:val="left"/>
        <w:rPr>
          <w:rFonts w:ascii="Arial;sans-serif" w:hAnsi="Arial;sans-serif"/>
          <w:b/>
          <w:i/>
          <w:color w:val="000000"/>
          <w:sz w:val="20"/>
        </w:rPr>
      </w:pPr>
      <w:r>
        <w:rPr>
          <w:rFonts w:ascii="Arial;sans-serif" w:hAnsi="Arial;sans-serif"/>
          <w:b/>
          <w:i/>
          <w:color w:val="000000"/>
          <w:sz w:val="20"/>
        </w:rPr>
        <w:t xml:space="preserve">Other income and expense </w:t>
      </w:r>
    </w:p>
    <w:p>
      <w:pPr>
        <w:pStyle w:val="TextBody"/>
        <w:bidi w:val="0"/>
        <w:spacing w:lineRule="auto" w:line="288" w:before="120" w:after="120"/>
        <w:jc w:val="both"/>
        <w:rPr/>
      </w:pPr>
      <w:r>
        <w:rPr>
          <w:rFonts w:ascii="Arial;sans-serif" w:hAnsi="Arial;sans-serif"/>
          <w:b w:val="false"/>
          <w:color w:val="000000"/>
          <w:sz w:val="20"/>
        </w:rPr>
        <w:t xml:space="preserve">Other income and expense includes interest expense and foreign exchange gains (losses) and other. We incurred $4.3 million of interest expense during the three months ended June 30, 2026, a decrease of $0.4 million compared to the three months ended June 30, 2025, due to decreased borrowings. See Note 6 </w:t>
      </w:r>
      <w:r>
        <w:rPr>
          <w:rFonts w:ascii="Arial;sans-serif" w:hAnsi="Arial;sans-serif"/>
          <w:b w:val="false"/>
          <w:i/>
          <w:color w:val="000000"/>
          <w:sz w:val="20"/>
        </w:rPr>
        <w:t>Debt</w:t>
      </w:r>
      <w:r>
        <w:rPr>
          <w:color w:val="000000"/>
        </w:rPr>
        <w:t xml:space="preserve"> </w:t>
      </w:r>
      <w:r>
        <w:rPr>
          <w:rFonts w:ascii="Arial;sans-serif" w:hAnsi="Arial;sans-serif"/>
          <w:b w:val="false"/>
          <w:color w:val="000000"/>
          <w:sz w:val="20"/>
        </w:rPr>
        <w:t>for further details related to debt.</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foreign exchange gains and losses are primarily the result of movements in the British pound, Canadian dollar and Euro relative to the U.S. dollar. These movements in exchange rates create foreign exchange gains or losses when applied to monetary assets or liabilities denominated in currencies other than the location’s functional currency, primarily U.S. dollar denominated cash, trade account receivables and net intercompany receivable balances for our entities using a functional currency other than the U.S. dollar.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3"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20"/>
        <w:jc w:val="both"/>
        <w:rPr>
          <w:rFonts w:ascii="Arial;sans-serif" w:hAnsi="Arial;sans-serif"/>
          <w:b/>
          <w:i/>
          <w:color w:val="000000"/>
          <w:sz w:val="20"/>
        </w:rPr>
      </w:pPr>
      <w:r>
        <w:rPr>
          <w:rFonts w:ascii="Arial;sans-serif" w:hAnsi="Arial;sans-serif"/>
          <w:b/>
          <w:i/>
          <w:color w:val="000000"/>
          <w:sz w:val="20"/>
        </w:rPr>
        <w:t>Taxes</w:t>
      </w:r>
    </w:p>
    <w:p>
      <w:pPr>
        <w:pStyle w:val="TextBody"/>
        <w:bidi w:val="0"/>
        <w:spacing w:lineRule="auto" w:line="288" w:before="0" w:after="0"/>
        <w:jc w:val="both"/>
        <w:rPr/>
      </w:pPr>
      <w:r>
        <w:rPr>
          <w:rFonts w:ascii="Arial;sans-serif" w:hAnsi="Arial;sans-serif"/>
          <w:b w:val="false"/>
          <w:color w:val="000000"/>
          <w:sz w:val="20"/>
        </w:rPr>
        <w:t>We recorded tax expense</w:t>
      </w:r>
      <w:r>
        <w:rPr>
          <w:color w:val="000000"/>
          <w:shd w:fill="FFFFFF" w:val="clear"/>
        </w:rPr>
        <w:t xml:space="preserve"> </w:t>
      </w:r>
      <w:r>
        <w:rPr>
          <w:rFonts w:ascii="Arial;sans-serif" w:hAnsi="Arial;sans-serif"/>
          <w:b w:val="false"/>
          <w:color w:val="000000"/>
          <w:sz w:val="20"/>
          <w:shd w:fill="FFFFFF" w:val="clear"/>
        </w:rPr>
        <w:t>of $3.6 million and</w:t>
      </w:r>
      <w:r>
        <w:rPr>
          <w:color w:val="000000"/>
        </w:rPr>
        <w:t xml:space="preserve"> </w:t>
      </w:r>
      <w:r>
        <w:rPr>
          <w:rFonts w:ascii="Arial;sans-serif" w:hAnsi="Arial;sans-serif"/>
          <w:b w:val="false"/>
          <w:color w:val="000000"/>
          <w:sz w:val="20"/>
          <w:shd w:fill="FFFFFF" w:val="clear"/>
        </w:rPr>
        <w:t xml:space="preserve">$6.2 million for the three months ended June 30, 2026 and 2025, respectively. </w:t>
      </w:r>
      <w:r>
        <w:rPr>
          <w:rFonts w:ascii="Arial;sans-serif" w:hAnsi="Arial;sans-serif"/>
          <w:b w:val="false"/>
          <w:color w:val="000000"/>
          <w:sz w:val="20"/>
        </w:rPr>
        <w:t xml:space="preserve">The income tax expense during the </w:t>
      </w:r>
      <w:r>
        <w:rPr>
          <w:rFonts w:ascii="Arial;sans-serif" w:hAnsi="Arial;sans-serif"/>
          <w:b w:val="false"/>
          <w:color w:val="000000"/>
          <w:sz w:val="20"/>
          <w:shd w:fill="FFFFFF" w:val="clear"/>
        </w:rPr>
        <w:t>three months ended</w:t>
      </w:r>
      <w:r>
        <w:rPr>
          <w:color w:val="000000"/>
        </w:rPr>
        <w:t xml:space="preserve"> </w:t>
      </w:r>
      <w:r>
        <w:rPr>
          <w:rFonts w:ascii="Arial;sans-serif" w:hAnsi="Arial;sans-serif"/>
          <w:b w:val="false"/>
          <w:color w:val="000000"/>
          <w:sz w:val="20"/>
          <w:shd w:fill="FFFFFF" w:val="clear"/>
        </w:rPr>
        <w:t xml:space="preserve">June 30, 2026 </w:t>
      </w:r>
      <w:r>
        <w:rPr>
          <w:rFonts w:ascii="Arial;sans-serif" w:hAnsi="Arial;sans-serif"/>
          <w:b w:val="false"/>
          <w:color w:val="000000"/>
          <w:sz w:val="20"/>
        </w:rPr>
        <w:t xml:space="preserve">was partially driven by a decrease to valuation allowances on certain deferred tax assets. </w:t>
      </w:r>
      <w:r>
        <w:rPr>
          <w:rFonts w:ascii="Arial;sans-serif" w:hAnsi="Arial;sans-serif"/>
          <w:b w:val="false"/>
          <w:color w:val="000000"/>
          <w:sz w:val="20"/>
          <w:shd w:fill="FFFFFF" w:val="clear"/>
        </w:rPr>
        <w:t>The estimated annual effective tax rates for the three months ended June 30, 2026 and 2025 were impacted by changes in earnings relative to tax expense and by fluctuations in valuation allowances on certain net operating loss carryforwards. Furthermore, the tax expense</w:t>
      </w:r>
      <w:r>
        <w:rPr>
          <w:color w:val="000000"/>
        </w:rPr>
        <w:t xml:space="preserve"> </w:t>
      </w:r>
      <w:r>
        <w:rPr>
          <w:rFonts w:ascii="Arial;sans-serif" w:hAnsi="Arial;sans-serif"/>
          <w:b w:val="false"/>
          <w:color w:val="000000"/>
          <w:sz w:val="20"/>
        </w:rPr>
        <w:t>or benefit recorded can vary from period to period depending on the Company’s relative mix of earnings and losses by jurisdiction.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4"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Arial;sans-serif" w:hAnsi="Arial;sans-serif"/>
          <w:b/>
          <w:color w:val="000000"/>
          <w:sz w:val="24"/>
        </w:rPr>
      </w:pPr>
      <w:r>
        <w:rPr>
          <w:rFonts w:ascii="Arial;sans-serif" w:hAnsi="Arial;sans-serif"/>
          <w:b/>
          <w:color w:val="000000"/>
          <w:sz w:val="24"/>
        </w:rPr>
        <w:t xml:space="preserve">Results of operations </w:t>
      </w:r>
    </w:p>
    <w:p>
      <w:pPr>
        <w:pStyle w:val="TextBody"/>
        <w:bidi w:val="0"/>
        <w:spacing w:lineRule="auto" w:line="288" w:before="160" w:after="283"/>
        <w:jc w:val="both"/>
        <w:rPr/>
      </w:pPr>
      <w:r>
        <w:rPr>
          <w:rFonts w:ascii="Arial;sans-serif" w:hAnsi="Arial;sans-serif"/>
          <w:b/>
          <w:i/>
          <w:color w:val="000000"/>
          <w:sz w:val="20"/>
        </w:rPr>
        <w:t>Six months ended June 30, 2026</w:t>
      </w:r>
      <w:r>
        <w:rPr>
          <w:color w:val="000000"/>
        </w:rPr>
        <w:t xml:space="preserve"> </w:t>
      </w:r>
      <w:r>
        <w:rPr>
          <w:rFonts w:ascii="Arial;sans-serif" w:hAnsi="Arial;sans-serif"/>
          <w:b/>
          <w:i/>
          <w:color w:val="000000"/>
          <w:sz w:val="22"/>
        </w:rPr>
        <w:t xml:space="preserve">compared with </w:t>
      </w:r>
      <w:r>
        <w:rPr>
          <w:rFonts w:ascii="Arial;sans-serif" w:hAnsi="Arial;sans-serif"/>
          <w:b/>
          <w:i/>
          <w:color w:val="000000"/>
          <w:sz w:val="20"/>
        </w:rPr>
        <w:t>six months ended June 30, 2025</w:t>
      </w:r>
    </w:p>
    <w:tbl>
      <w:tblPr>
        <w:tblW w:w="10205" w:type="dxa"/>
        <w:jc w:val="left"/>
        <w:tblInd w:w="0" w:type="dxa"/>
        <w:tblLayout w:type="fixed"/>
        <w:tblCellMar>
          <w:top w:w="28" w:type="dxa"/>
          <w:left w:w="28" w:type="dxa"/>
          <w:bottom w:w="28" w:type="dxa"/>
          <w:right w:w="28" w:type="dxa"/>
        </w:tblCellMar>
      </w:tblPr>
      <w:tblGrid>
        <w:gridCol w:w="1653"/>
        <w:gridCol w:w="1429"/>
        <w:gridCol w:w="1437"/>
        <w:gridCol w:w="211"/>
        <w:gridCol w:w="856"/>
        <w:gridCol w:w="286"/>
        <w:gridCol w:w="109"/>
        <w:gridCol w:w="109"/>
        <w:gridCol w:w="109"/>
        <w:gridCol w:w="211"/>
        <w:gridCol w:w="856"/>
        <w:gridCol w:w="286"/>
        <w:gridCol w:w="109"/>
        <w:gridCol w:w="109"/>
        <w:gridCol w:w="109"/>
        <w:gridCol w:w="211"/>
        <w:gridCol w:w="751"/>
        <w:gridCol w:w="109"/>
        <w:gridCol w:w="109"/>
        <w:gridCol w:w="109"/>
        <w:gridCol w:w="109"/>
        <w:gridCol w:w="296"/>
        <w:gridCol w:w="298"/>
        <w:gridCol w:w="334"/>
      </w:tblGrid>
      <w:tr>
        <w:trPr/>
        <w:tc>
          <w:tcPr>
            <w:tcW w:w="1653"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451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4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 thousands of dollars, except per share information)</w:t>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45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Drilling and Completions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265,743 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232,806 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Artificial Lift and Downhole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169,520 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160,343 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Eliminations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revenue</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434,917 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393,043 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1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451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451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451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451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451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451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451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451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451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451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451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451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451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4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Segment operating income</w:t>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Drilling and Completions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22,624 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16,650 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Operating margin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8.5 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7.2 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Artificial Lift and Downhole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27,934 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17,688 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Operating margin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16.5 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11.0 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(18,483)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(17,189)</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segment operating income</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32,075 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17,149 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87.0 </w:t>
            </w:r>
          </w:p>
        </w:tc>
        <w:tc>
          <w:tcPr>
            <w:tcW w:w="3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Operating margin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7.4 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4.4 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Transaction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1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4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sale-leaseback transactions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disposal of assets and other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31,512 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23,487 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34.2 </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8,413 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9,689 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exchange gains and other,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1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4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other expense</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8,116 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4,679 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73.5 </w:t>
            </w:r>
          </w:p>
        </w:tc>
        <w:tc>
          <w:tcPr>
            <w:tcW w:w="3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before income taxes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23,396 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18,808 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24.4 </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6,497 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9,986 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16,899 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8,822 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91.6 </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Weighted average shares outstanding</w:t>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11,252 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12,327 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11,707 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12,542 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Earnings per share</w:t>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 not meaningful</w:t>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5"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revenue for the six months ended June 30, 2026 was $434.9 million, an increase of $41.9 million, or 10.7%, compared to the six months ended June 30, 2025. For the six months ended June 30, 2026, our Drilling and Completions and our Artificial Lift and Downhole segments comprised 61.1% and 38.9% of our total revenue, respectively, compared to 59.2% and 40.8% of our total revenue, respectively, for the six months ended June 30, 2025. The changes in revenue by operating segment consisted of the following:</w:t>
      </w:r>
    </w:p>
    <w:p>
      <w:pPr>
        <w:pStyle w:val="TextBody"/>
        <w:bidi w:val="0"/>
        <w:spacing w:lineRule="auto" w:line="288" w:before="120" w:after="120"/>
        <w:jc w:val="both"/>
        <w:rPr/>
      </w:pPr>
      <w:r>
        <w:rPr>
          <w:rFonts w:ascii="Arial;sans-serif" w:hAnsi="Arial;sans-serif"/>
          <w:b w:val="false"/>
          <w:i/>
          <w:color w:val="000000"/>
          <w:sz w:val="20"/>
        </w:rPr>
        <w:t xml:space="preserve">Drilling and Completions segment </w:t>
      </w:r>
      <w:r>
        <w:rPr>
          <w:color w:val="000000"/>
        </w:rPr>
        <w:t xml:space="preserve">— </w:t>
      </w:r>
      <w:r>
        <w:rPr>
          <w:rFonts w:ascii="Arial;sans-serif" w:hAnsi="Arial;sans-serif"/>
          <w:b w:val="false"/>
          <w:color w:val="000000"/>
          <w:sz w:val="20"/>
        </w:rPr>
        <w:t>Revenue was $265.7 million for the six months ended June 30, 2026, an increase of $32.9 million, or 14.1%, compared to the six months ended June 30, 2025. The increase was primarily attributable to higher revenue recognized from ROVs and part sales in the Subsea product line, as well as increased demand for wireline cable, coiled tubing and drilling-related capital products.</w:t>
      </w:r>
    </w:p>
    <w:p>
      <w:pPr>
        <w:pStyle w:val="TextBody"/>
        <w:bidi w:val="0"/>
        <w:spacing w:lineRule="auto" w:line="276" w:before="0" w:after="0"/>
        <w:jc w:val="both"/>
        <w:rPr/>
      </w:pPr>
      <w:r>
        <w:rPr>
          <w:rFonts w:ascii="Arial;sans-serif" w:hAnsi="Arial;sans-serif"/>
          <w:b w:val="false"/>
          <w:i/>
          <w:color w:val="000000"/>
          <w:sz w:val="20"/>
        </w:rPr>
        <w:t xml:space="preserve">Artificial Lift and Downhole segment </w:t>
      </w:r>
      <w:r>
        <w:rPr>
          <w:color w:val="000000"/>
        </w:rPr>
        <w:t xml:space="preserve">— </w:t>
      </w:r>
      <w:r>
        <w:rPr>
          <w:rFonts w:ascii="Arial;sans-serif" w:hAnsi="Arial;sans-serif"/>
          <w:b w:val="false"/>
          <w:color w:val="000000"/>
          <w:sz w:val="20"/>
        </w:rPr>
        <w:t>Revenue was $169.5 million for the six months ended June 30, 2026, an increase of $9.2 million, or 5.7%, compared to the six months ended June 30, 2025. The increase in revenue was primarily attributable to higher sand and flow control product sales, as well as higher valve product sales reflecting the absence of prior-year period tariff</w:t>
        <w:noBreakHyphen/>
        <w:t>related sales impacts. These increases were partially offset by lower demand for production equipment and technologies.</w:t>
      </w:r>
    </w:p>
    <w:p>
      <w:pPr>
        <w:pStyle w:val="TextBody"/>
        <w:bidi w:val="0"/>
        <w:spacing w:lineRule="auto" w:line="288" w:before="160" w:after="120"/>
        <w:jc w:val="both"/>
        <w:rPr>
          <w:rFonts w:ascii="Arial;sans-serif" w:hAnsi="Arial;sans-serif"/>
          <w:b/>
          <w:i/>
          <w:color w:val="000000"/>
          <w:sz w:val="20"/>
        </w:rPr>
      </w:pPr>
      <w:r>
        <w:rPr>
          <w:rFonts w:ascii="Arial;sans-serif" w:hAnsi="Arial;sans-serif"/>
          <w:b/>
          <w:i/>
          <w:color w:val="000000"/>
          <w:sz w:val="20"/>
        </w:rPr>
        <w:t>Segment operating income and segment operating margin percentage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Segment operating income for the six months ended June 30, 2026 was $32.1 million, a $14.9 million increase, compared to $17.1 million for the six months ended June 30, 2025. For the six months ended June 30, 2026, segment operating margin percentage was 7.4%, compared to 4.4% for the six months ended June 30, 2025. Segment operating margin percentage is calculated by dividing segment operating income by revenue for the period. The change in operating income for each segment is explained as follows:</w:t>
      </w:r>
    </w:p>
    <w:p>
      <w:pPr>
        <w:pStyle w:val="TextBody"/>
        <w:bidi w:val="0"/>
        <w:spacing w:lineRule="auto" w:line="288" w:before="120" w:after="283"/>
        <w:jc w:val="both"/>
        <w:rPr/>
      </w:pPr>
      <w:r>
        <w:rPr>
          <w:rFonts w:ascii="Arial;sans-serif" w:hAnsi="Arial;sans-serif"/>
          <w:b w:val="false"/>
          <w:i/>
          <w:color w:val="000000"/>
          <w:sz w:val="20"/>
        </w:rPr>
        <w:t xml:space="preserve">Drilling and Completions segment </w:t>
      </w:r>
      <w:r>
        <w:rPr>
          <w:color w:val="000000"/>
        </w:rPr>
        <w:t xml:space="preserve">— </w:t>
      </w:r>
      <w:r>
        <w:rPr>
          <w:rFonts w:ascii="Arial;sans-serif" w:hAnsi="Arial;sans-serif"/>
          <w:b w:val="false"/>
          <w:color w:val="000000"/>
          <w:sz w:val="20"/>
        </w:rPr>
        <w:t>Segment operating income was $22.6 million, or 8.5%, for the six months ended June 30, 2026 compared to $16.7 million, or 7.2%, for the six months ended June 30, 2025. The $6.0 million increase in segment operating results was driven by revenue growth across all product lines, as well as benefits from cost savings initiatives including the Company’s strategic decision to consolidate facilities in the second half of the prior year.</w:t>
      </w:r>
    </w:p>
    <w:p>
      <w:pPr>
        <w:pStyle w:val="TextBody"/>
        <w:bidi w:val="0"/>
        <w:spacing w:lineRule="auto" w:line="288" w:before="120" w:after="283"/>
        <w:jc w:val="both"/>
        <w:rPr/>
      </w:pPr>
      <w:r>
        <w:rPr>
          <w:rFonts w:ascii="Arial;sans-serif" w:hAnsi="Arial;sans-serif"/>
          <w:b w:val="false"/>
          <w:i/>
          <w:color w:val="000000"/>
          <w:sz w:val="20"/>
        </w:rPr>
        <w:t xml:space="preserve">Artificial Lift and Downhole segment </w:t>
      </w:r>
      <w:r>
        <w:rPr>
          <w:color w:val="000000"/>
        </w:rPr>
        <w:t xml:space="preserve">— </w:t>
      </w:r>
      <w:r>
        <w:rPr>
          <w:rFonts w:ascii="Arial;sans-serif" w:hAnsi="Arial;sans-serif"/>
          <w:b w:val="false"/>
          <w:color w:val="000000"/>
          <w:sz w:val="20"/>
        </w:rPr>
        <w:t>Segment operating income was $27.9 million, or 16.5%, for the six months ended June 30, 2026 compared to $17.7 million, or 11.0%, for the six months ended June 30, 2025. The $10.2 million increase was primarily driven by increased sales volume, favorable product mix, operating leverage and benefits from cost savings initiatives.</w:t>
      </w:r>
    </w:p>
    <w:p>
      <w:pPr>
        <w:pStyle w:val="TextBody"/>
        <w:bidi w:val="0"/>
        <w:spacing w:lineRule="auto" w:line="288" w:before="120" w:after="283"/>
        <w:jc w:val="both"/>
        <w:rPr/>
      </w:pPr>
      <w:r>
        <w:rPr>
          <w:rFonts w:ascii="Arial;sans-serif" w:hAnsi="Arial;sans-serif"/>
          <w:b w:val="false"/>
          <w:i/>
          <w:color w:val="000000"/>
          <w:sz w:val="20"/>
        </w:rPr>
        <w:t xml:space="preserve">Corporate </w:t>
      </w:r>
      <w:r>
        <w:rPr>
          <w:color w:val="000000"/>
        </w:rPr>
        <w:t xml:space="preserve">— </w:t>
      </w:r>
      <w:r>
        <w:rPr>
          <w:rFonts w:ascii="Arial;sans-serif" w:hAnsi="Arial;sans-serif"/>
          <w:b w:val="false"/>
          <w:color w:val="000000"/>
          <w:sz w:val="20"/>
        </w:rPr>
        <w:t>Selling, general and administrative expenses for Corporate were $18.5 million for the six months ended June 30, 2026 compared to $17.2 million for the six months ended June 30, 2025. This increase was primarily related to higher performance-based stock incentive compensation costs.</w:t>
      </w:r>
    </w:p>
    <w:p>
      <w:pPr>
        <w:pStyle w:val="TextBody"/>
        <w:bidi w:val="0"/>
        <w:spacing w:lineRule="auto" w:line="288" w:before="160" w:after="180"/>
        <w:jc w:val="both"/>
        <w:rPr>
          <w:rFonts w:ascii="Arial;sans-serif" w:hAnsi="Arial;sans-serif"/>
          <w:b/>
          <w:i/>
          <w:color w:val="000000"/>
          <w:sz w:val="20"/>
        </w:rPr>
      </w:pPr>
      <w:r>
        <w:rPr>
          <w:rFonts w:ascii="Arial;sans-serif" w:hAnsi="Arial;sans-serif"/>
          <w:b/>
          <w:i/>
          <w:color w:val="000000"/>
          <w:sz w:val="20"/>
        </w:rPr>
        <w:t>Other items not included in segment operating income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Transaction expenses, gain on sale-leaseback transactions, and gain (loss) on the disposal of assets and other are not included in segment operating income, but are included in total operating income.</w:t>
      </w:r>
    </w:p>
    <w:p>
      <w:pPr>
        <w:pStyle w:val="TextBody"/>
        <w:bidi w:val="0"/>
        <w:spacing w:lineRule="auto" w:line="288" w:before="160" w:after="283"/>
        <w:jc w:val="left"/>
        <w:rPr>
          <w:rFonts w:ascii="Arial;sans-serif" w:hAnsi="Arial;sans-serif"/>
          <w:b/>
          <w:i/>
          <w:color w:val="000000"/>
          <w:sz w:val="20"/>
        </w:rPr>
      </w:pPr>
      <w:r>
        <w:rPr>
          <w:rFonts w:ascii="Arial;sans-serif" w:hAnsi="Arial;sans-serif"/>
          <w:b/>
          <w:i/>
          <w:color w:val="000000"/>
          <w:sz w:val="20"/>
        </w:rPr>
        <w:t xml:space="preserve">Other income and expense </w:t>
      </w:r>
    </w:p>
    <w:p>
      <w:pPr>
        <w:pStyle w:val="TextBody"/>
        <w:bidi w:val="0"/>
        <w:spacing w:lineRule="auto" w:line="288" w:before="120" w:after="120"/>
        <w:jc w:val="both"/>
        <w:rPr/>
      </w:pPr>
      <w:r>
        <w:rPr>
          <w:rFonts w:ascii="Arial;sans-serif" w:hAnsi="Arial;sans-serif"/>
          <w:b w:val="false"/>
          <w:color w:val="000000"/>
          <w:sz w:val="20"/>
        </w:rPr>
        <w:t xml:space="preserve">Other income and expense includes interest expense and foreign exchange gains (losses) and other. We incurred </w:t>
      </w:r>
      <w:r>
        <w:rPr>
          <w:rFonts w:ascii="Arial;sans-serif" w:hAnsi="Arial;sans-serif"/>
          <w:b w:val="false"/>
          <w:color w:val="000000"/>
          <w:sz w:val="20"/>
          <w:shd w:fill="FFFFFF" w:val="clear"/>
        </w:rPr>
        <w:t>$8.4 million</w:t>
      </w:r>
      <w:r>
        <w:rPr>
          <w:color w:val="000000"/>
        </w:rPr>
        <w:t xml:space="preserve"> </w:t>
      </w:r>
      <w:r>
        <w:rPr>
          <w:rFonts w:ascii="Arial;sans-serif" w:hAnsi="Arial;sans-serif"/>
          <w:b w:val="false"/>
          <w:color w:val="000000"/>
          <w:sz w:val="20"/>
        </w:rPr>
        <w:t xml:space="preserve">of interest expense during the six months ended June 30, 2026, a decrease of </w:t>
      </w:r>
      <w:r>
        <w:rPr>
          <w:rFonts w:ascii="Arial;sans-serif" w:hAnsi="Arial;sans-serif"/>
          <w:b w:val="false"/>
          <w:color w:val="000000"/>
          <w:sz w:val="20"/>
          <w:shd w:fill="FFFFFF" w:val="clear"/>
        </w:rPr>
        <w:t>$1.3 million</w:t>
      </w:r>
      <w:r>
        <w:rPr>
          <w:color w:val="000000"/>
        </w:rPr>
        <w:t xml:space="preserve"> </w:t>
      </w:r>
      <w:r>
        <w:rPr>
          <w:rFonts w:ascii="Arial;sans-serif" w:hAnsi="Arial;sans-serif"/>
          <w:b w:val="false"/>
          <w:color w:val="000000"/>
          <w:sz w:val="20"/>
        </w:rPr>
        <w:t xml:space="preserve">compared to the six months ended June 30, 2025, due to decreased borrowings. See Note 6 </w:t>
      </w:r>
      <w:r>
        <w:rPr>
          <w:rFonts w:ascii="Arial;sans-serif" w:hAnsi="Arial;sans-serif"/>
          <w:b w:val="false"/>
          <w:i/>
          <w:color w:val="000000"/>
          <w:sz w:val="20"/>
        </w:rPr>
        <w:t>Debt</w:t>
      </w:r>
      <w:r>
        <w:rPr>
          <w:color w:val="000000"/>
        </w:rPr>
        <w:t xml:space="preserve"> </w:t>
      </w:r>
      <w:r>
        <w:rPr>
          <w:rFonts w:ascii="Arial;sans-serif" w:hAnsi="Arial;sans-serif"/>
          <w:b w:val="false"/>
          <w:color w:val="000000"/>
          <w:sz w:val="20"/>
        </w:rPr>
        <w:t>for further details related to debt.</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foreign exchange gains and losses are primarily the result of movements in the British pound, Canadian dollar and Euro relative to the U.S. dollar. These movements in exchange rates create foreign exchange gains or losses when applied to monetary assets or liabilities denominated in currencies other than the location’s functional currency, primarily U.S. dollar denominated cash, trade account receivables and net intercompany receivable balances for our entities using a functional currency other than the U.S. dollar.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6"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20"/>
        <w:jc w:val="both"/>
        <w:rPr>
          <w:rFonts w:ascii="Arial;sans-serif" w:hAnsi="Arial;sans-serif"/>
          <w:b/>
          <w:i/>
          <w:color w:val="000000"/>
          <w:sz w:val="20"/>
        </w:rPr>
      </w:pPr>
      <w:r>
        <w:rPr>
          <w:rFonts w:ascii="Arial;sans-serif" w:hAnsi="Arial;sans-serif"/>
          <w:b/>
          <w:i/>
          <w:color w:val="000000"/>
          <w:sz w:val="20"/>
        </w:rPr>
        <w:t>Taxes</w:t>
      </w:r>
    </w:p>
    <w:p>
      <w:pPr>
        <w:pStyle w:val="TextBody"/>
        <w:bidi w:val="0"/>
        <w:spacing w:lineRule="auto" w:line="288" w:before="120" w:after="120"/>
        <w:jc w:val="both"/>
        <w:rPr/>
      </w:pPr>
      <w:r>
        <w:rPr>
          <w:rFonts w:ascii="Arial;sans-serif" w:hAnsi="Arial;sans-serif"/>
          <w:b w:val="false"/>
          <w:color w:val="000000"/>
          <w:sz w:val="20"/>
        </w:rPr>
        <w:t>We recorded tax expense</w:t>
      </w:r>
      <w:r>
        <w:rPr>
          <w:color w:val="000000"/>
          <w:shd w:fill="FFFFFF" w:val="clear"/>
        </w:rPr>
        <w:t xml:space="preserve"> </w:t>
      </w:r>
      <w:r>
        <w:rPr>
          <w:rFonts w:ascii="Arial;sans-serif" w:hAnsi="Arial;sans-serif"/>
          <w:b w:val="false"/>
          <w:color w:val="000000"/>
          <w:sz w:val="20"/>
          <w:shd w:fill="FFFFFF" w:val="clear"/>
        </w:rPr>
        <w:t xml:space="preserve">of $6.5 million and $10.0 million for the </w:t>
      </w:r>
      <w:r>
        <w:rPr>
          <w:rFonts w:ascii="Arial;sans-serif" w:hAnsi="Arial;sans-serif"/>
          <w:b w:val="false"/>
          <w:color w:val="000000"/>
          <w:sz w:val="20"/>
        </w:rPr>
        <w:t>six months ended</w:t>
      </w:r>
      <w:r>
        <w:rPr>
          <w:color w:val="000000"/>
          <w:shd w:fill="FFFFFF" w:val="clear"/>
        </w:rPr>
        <w:t xml:space="preserve"> </w:t>
      </w:r>
      <w:r>
        <w:rPr>
          <w:rFonts w:ascii="Arial;sans-serif" w:hAnsi="Arial;sans-serif"/>
          <w:b w:val="false"/>
          <w:color w:val="000000"/>
          <w:sz w:val="20"/>
          <w:shd w:fill="FFFFFF" w:val="clear"/>
        </w:rPr>
        <w:t xml:space="preserve">June 30, 2026 and 2025, respectively. </w:t>
      </w:r>
      <w:r>
        <w:rPr>
          <w:rFonts w:ascii="Arial;sans-serif" w:hAnsi="Arial;sans-serif"/>
          <w:b w:val="false"/>
          <w:color w:val="000000"/>
          <w:sz w:val="20"/>
        </w:rPr>
        <w:t xml:space="preserve">The income tax expense during the six months ended </w:t>
      </w:r>
      <w:r>
        <w:rPr>
          <w:rFonts w:ascii="Arial;sans-serif" w:hAnsi="Arial;sans-serif"/>
          <w:b w:val="false"/>
          <w:color w:val="000000"/>
          <w:sz w:val="20"/>
          <w:shd w:fill="FFFFFF" w:val="clear"/>
        </w:rPr>
        <w:t xml:space="preserve">June 30, 2026 </w:t>
      </w:r>
      <w:r>
        <w:rPr>
          <w:rFonts w:ascii="Arial;sans-serif" w:hAnsi="Arial;sans-serif"/>
          <w:b w:val="false"/>
          <w:color w:val="000000"/>
          <w:sz w:val="20"/>
        </w:rPr>
        <w:t xml:space="preserve">was favorably impacted by a decrease to valuation allowances on certain deferred tax assets and the relative mix of earnings and losses by jurisdiction. </w:t>
      </w:r>
      <w:r>
        <w:rPr>
          <w:rFonts w:ascii="Arial;sans-serif" w:hAnsi="Arial;sans-serif"/>
          <w:b w:val="false"/>
          <w:color w:val="000000"/>
          <w:sz w:val="20"/>
          <w:shd w:fill="FFFFFF" w:val="clear"/>
        </w:rPr>
        <w:t xml:space="preserve">The estimated annual effective tax rates for the </w:t>
      </w:r>
      <w:r>
        <w:rPr>
          <w:rFonts w:ascii="Arial;sans-serif" w:hAnsi="Arial;sans-serif"/>
          <w:b w:val="false"/>
          <w:color w:val="000000"/>
          <w:sz w:val="20"/>
        </w:rPr>
        <w:t>six months ended</w:t>
      </w:r>
      <w:r>
        <w:rPr>
          <w:color w:val="000000"/>
          <w:shd w:fill="FFFFFF" w:val="clear"/>
        </w:rPr>
        <w:t xml:space="preserve"> </w:t>
      </w:r>
      <w:r>
        <w:rPr>
          <w:rFonts w:ascii="Arial;sans-serif" w:hAnsi="Arial;sans-serif"/>
          <w:b w:val="false"/>
          <w:color w:val="000000"/>
          <w:sz w:val="20"/>
          <w:shd w:fill="FFFFFF" w:val="clear"/>
        </w:rPr>
        <w:t>June 30, 2026 and 2025 were driven primarily by changes in earnings relative to tax expense and to fluctuations in valuation allowances on certain net operating loss carryforwards. Furthermore, the tax expense</w:t>
      </w:r>
      <w:r>
        <w:rPr>
          <w:color w:val="000000"/>
        </w:rPr>
        <w:t xml:space="preserve"> </w:t>
      </w:r>
      <w:r>
        <w:rPr>
          <w:rFonts w:ascii="Arial;sans-serif" w:hAnsi="Arial;sans-serif"/>
          <w:b w:val="false"/>
          <w:color w:val="000000"/>
          <w:sz w:val="20"/>
        </w:rPr>
        <w:t>or benefit recorded can vary from period to period depending on the Company’s relative mix of earnings and losses by jurisdiction.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4"/>
        </w:rPr>
      </w:pPr>
      <w:r>
        <w:rPr>
          <w:rFonts w:ascii="Arial;sans-serif" w:hAnsi="Arial;sans-serif"/>
          <w:b/>
          <w:color w:val="000000"/>
          <w:sz w:val="24"/>
        </w:rPr>
        <w:t xml:space="preserve">Liquidity and capital resources </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Sources and uses of liquidity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internal sources of liquidity are cash on hand and cash flows from operations, while our primary external sources include trade credit, the Credit Facility and the 2029 Bonds. Our primary uses of capital have been for inventory, sales on credit to our customers, maintenance and growth capital expenditures, repurchases of stock, debt repayments and acquisitions. We continually monitor other potential capital sources, including equity and debt financing, to meet our investment and target liquidity requirements. Our future success and growth will be highly dependent on our ability to generate positive operating cash flow and access outside sources of capital.</w:t>
      </w:r>
    </w:p>
    <w:p>
      <w:pPr>
        <w:pStyle w:val="TextBody"/>
        <w:bidi w:val="0"/>
        <w:spacing w:lineRule="auto" w:line="288" w:before="120" w:after="283"/>
        <w:jc w:val="both"/>
        <w:rPr/>
      </w:pPr>
      <w:r>
        <w:rPr>
          <w:rFonts w:ascii="Arial;sans-serif" w:hAnsi="Arial;sans-serif"/>
          <w:b w:val="false"/>
          <w:color w:val="000000"/>
          <w:sz w:val="20"/>
        </w:rPr>
        <w:t xml:space="preserve">As of June 30, 2026, we had $45.0 million of borrowings under our revolving Credit Facility and $100.0 million principal amount of the 2029 Bonds outstanding. See Note 6 </w:t>
      </w:r>
      <w:r>
        <w:rPr>
          <w:rFonts w:ascii="Arial;sans-serif" w:hAnsi="Arial;sans-serif"/>
          <w:b w:val="false"/>
          <w:i/>
          <w:color w:val="000000"/>
          <w:sz w:val="20"/>
        </w:rPr>
        <w:t>Debt</w:t>
      </w:r>
      <w:r>
        <w:rPr>
          <w:color w:val="000000"/>
        </w:rPr>
        <w:t xml:space="preserve"> </w:t>
      </w:r>
      <w:r>
        <w:rPr>
          <w:rFonts w:ascii="Arial;sans-serif" w:hAnsi="Arial;sans-serif"/>
          <w:b w:val="false"/>
          <w:color w:val="000000"/>
          <w:sz w:val="20"/>
        </w:rPr>
        <w:t xml:space="preserve">for further details related to the terms for our debt arrangements.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of June 30, 2026, we had cash and cash equivalents of $33.7 million and $62.0 million of availability under the Credit Facility. We anticipate that our future working capital requirements for our operations will fluctuate directionally with revenues. Furthermore, availability under the Credit Facility will fluctuate directionally based on the level of our eligible accounts receivable and inventory subject to applicable sublimits. In addition, we expect total 2026 capital expenditures to be below $10.0 million, primarily for replacement of end of life machinery and equipment.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expect our available cash on-hand, cash generated by operations, and estimated availability under the Credit Facility to be adequate to fund current operations for at least the next 12 months and for the foreseeable future. In addition, based on existing market conditions and our expected liquidity needs, among other factors, we may use a portion of our cash flows from operations, proceeds from divestitures, securities offerings or other eligible capital to reduce outstanding debt or repurchase shares of our common stock under our repurchase program.</w:t>
      </w:r>
    </w:p>
    <w:p>
      <w:pPr>
        <w:pStyle w:val="TextBody"/>
        <w:bidi w:val="0"/>
        <w:spacing w:lineRule="auto" w:line="288" w:before="120" w:after="283"/>
        <w:jc w:val="both"/>
        <w:rPr/>
      </w:pPr>
      <w:r>
        <w:rPr>
          <w:rFonts w:ascii="Arial;sans-serif" w:hAnsi="Arial;sans-serif"/>
          <w:b w:val="false"/>
          <w:color w:val="000000"/>
          <w:sz w:val="20"/>
        </w:rPr>
        <w:t xml:space="preserve">Our Board of Directors approved programs for the repurchase of outstanding shares of our common stock. From the inception of the programs in November 2021 through </w:t>
      </w:r>
      <w:r>
        <w:rPr>
          <w:rFonts w:ascii="Arial;sans-serif" w:hAnsi="Arial;sans-serif"/>
          <w:b w:val="false"/>
          <w:color w:val="000000"/>
          <w:sz w:val="20"/>
          <w:shd w:fill="FFFFFF" w:val="clear"/>
        </w:rPr>
        <w:t>June 30, 2026</w:t>
      </w:r>
      <w:r>
        <w:rPr>
          <w:rFonts w:ascii="Arial;sans-serif" w:hAnsi="Arial;sans-serif"/>
          <w:b w:val="false"/>
          <w:color w:val="000000"/>
          <w:sz w:val="20"/>
        </w:rPr>
        <w:t xml:space="preserve">, we repurchased approximately 1.8 million shares of our common stock for aggregate consideration of $49.4 million. We repurchased approximately 0.1 million shares of our common stock for aggregate consideration of $7.6 million during the six months ended </w:t>
      </w:r>
      <w:r>
        <w:rPr>
          <w:rFonts w:ascii="Arial;sans-serif" w:hAnsi="Arial;sans-serif"/>
          <w:b w:val="false"/>
          <w:color w:val="000000"/>
          <w:sz w:val="20"/>
          <w:shd w:fill="FFFFFF" w:val="clear"/>
        </w:rPr>
        <w:t>June 30, 2026</w:t>
      </w:r>
      <w:r>
        <w:rPr>
          <w:rFonts w:ascii="Arial;sans-serif" w:hAnsi="Arial;sans-serif"/>
          <w:b w:val="false"/>
          <w:color w:val="000000"/>
          <w:sz w:val="20"/>
        </w:rPr>
        <w:t>.</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Our cash flows for the six months ended June 30, 2026 and 2025 are presented below (in thousands):</w:t>
      </w:r>
    </w:p>
    <w:tbl>
      <w:tblPr>
        <w:tblW w:w="7151" w:type="dxa"/>
        <w:jc w:val="left"/>
        <w:tblInd w:w="0" w:type="dxa"/>
        <w:tblLayout w:type="fixed"/>
        <w:tblCellMar>
          <w:top w:w="28" w:type="dxa"/>
          <w:left w:w="28" w:type="dxa"/>
          <w:bottom w:w="28" w:type="dxa"/>
          <w:right w:w="28" w:type="dxa"/>
        </w:tblCellMar>
      </w:tblPr>
      <w:tblGrid>
        <w:gridCol w:w="1614"/>
        <w:gridCol w:w="1415"/>
        <w:gridCol w:w="1425"/>
        <w:gridCol w:w="226"/>
        <w:gridCol w:w="806"/>
        <w:gridCol w:w="117"/>
        <w:gridCol w:w="117"/>
        <w:gridCol w:w="117"/>
        <w:gridCol w:w="117"/>
        <w:gridCol w:w="226"/>
        <w:gridCol w:w="806"/>
        <w:gridCol w:w="165"/>
      </w:tblGrid>
      <w:tr>
        <w:trPr/>
        <w:tc>
          <w:tcPr>
            <w:tcW w:w="1614"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7"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4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14,056 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25,099 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investing activities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(11,571)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(37,296)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exchange rate changes on cash</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decrease in cash and cash equivalents</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(945)</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(5,694)</w:t>
            </w:r>
          </w:p>
        </w:tc>
        <w:tc>
          <w:tcPr>
            <w:tcW w:w="1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7"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Net cash provided by operating activities</w:t>
      </w:r>
    </w:p>
    <w:p>
      <w:pPr>
        <w:pStyle w:val="TextBody"/>
        <w:bidi w:val="0"/>
        <w:spacing w:lineRule="auto" w:line="288" w:before="120" w:after="283"/>
        <w:jc w:val="both"/>
        <w:rPr/>
      </w:pPr>
      <w:r>
        <w:rPr>
          <w:rFonts w:ascii="Arial;sans-serif" w:hAnsi="Arial;sans-serif"/>
          <w:b w:val="false"/>
          <w:color w:val="000000"/>
          <w:sz w:val="20"/>
        </w:rPr>
        <w:t>Net cash provided by operating activities was $14.1 million for the six months ended June 30, 2026 compared to net cash provided by</w:t>
      </w:r>
      <w:r>
        <w:rPr>
          <w:color w:val="000000"/>
        </w:rPr>
        <w:t xml:space="preserve"> </w:t>
      </w:r>
      <w:r>
        <w:rPr>
          <w:rFonts w:ascii="Arial;sans-serif" w:hAnsi="Arial;sans-serif"/>
          <w:b w:val="false"/>
          <w:color w:val="000000"/>
          <w:sz w:val="20"/>
        </w:rPr>
        <w:t>operating activities of $25.1 million for the six months ended June 30, 2025. The decrease was primarily due to higher working capital requirements, driven by an increase in accounts receivable associated with higher revenue, resulting in a use of cash of $31.4 million in the 2026 period compared to net cash provided of $3.4 million in the prior period. Partially offsetting this decline in operating cash flows was the increase in net income adjusted for non-cash items, which provided $45.4 million of cash in 2026 compared to $21.7 million in 2025.</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 xml:space="preserve">Net cash provided by (used in) investing activities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Net cash used in investing activities was $3.0 million for the six months ended June 30, 2026, driven by capital expenditures. Net cash provided by investing activities was $5.0 million for the six months ended June 30, 2025, primarily from $8.0 million proceeds from a sale-leaseback transaction, offset by capital expenditures of $3.1 million.</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Net cash used in financing activities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Net cash used in financing activities was $11.6 million for the six months ended June 30, 2026 compared to $37.3 million of cash used in financing activities for the six months ended June 30, 2025. The change was primarily driven by payments of stock-based compensation taxes of $9.3 million and repurchases of stock of $7.6 million, partially offset by $7.7 million in net borrowings under the revolving Credit Facility during 2026. This compares to $28.0 million in net repayments under the revolving Credit Facility, repurchases of stock of $6.3 million and payments of stock-based compensation taxes of $1.3 million during the prior year period.</w:t>
      </w:r>
    </w:p>
    <w:p>
      <w:pPr>
        <w:pStyle w:val="TextBody"/>
        <w:bidi w:val="0"/>
        <w:spacing w:lineRule="auto" w:line="288" w:before="120" w:after="120"/>
        <w:jc w:val="both"/>
        <w:rPr>
          <w:rFonts w:ascii="Arial;sans-serif" w:hAnsi="Arial;sans-serif"/>
          <w:b/>
          <w:color w:val="000000"/>
          <w:sz w:val="24"/>
        </w:rPr>
      </w:pPr>
      <w:r>
        <w:rPr>
          <w:rFonts w:ascii="Arial;sans-serif" w:hAnsi="Arial;sans-serif"/>
          <w:b/>
          <w:color w:val="000000"/>
          <w:sz w:val="24"/>
        </w:rPr>
        <w:t>Critical accounting policies and estimates</w:t>
      </w:r>
    </w:p>
    <w:p>
      <w:pPr>
        <w:pStyle w:val="TextBody"/>
        <w:bidi w:val="0"/>
        <w:spacing w:lineRule="auto" w:line="288" w:before="120" w:after="283"/>
        <w:jc w:val="both"/>
        <w:rPr/>
      </w:pPr>
      <w:r>
        <w:rPr>
          <w:rFonts w:ascii="Arial;sans-serif" w:hAnsi="Arial;sans-serif"/>
          <w:b w:val="false"/>
          <w:color w:val="000000"/>
          <w:sz w:val="20"/>
        </w:rPr>
        <w:t xml:space="preserve">There have been no material changes in our critical accounting policies and estimates during the six months ended June 30, 2026. For a detailed discussion of our critical accounting policies and estimates, refer to our 2025 Annual Report on Form 10-K. For recent accounting pronouncements, refer to Note 2 </w:t>
      </w:r>
      <w:r>
        <w:rPr>
          <w:rFonts w:ascii="Arial;sans-serif" w:hAnsi="Arial;sans-serif"/>
          <w:b w:val="false"/>
          <w:i/>
          <w:color w:val="000000"/>
          <w:sz w:val="20"/>
        </w:rPr>
        <w:t>Recent Accounting Pronouncements</w:t>
      </w:r>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100" w:after="100"/>
        <w:jc w:val="both"/>
        <w:rPr>
          <w:rFonts w:ascii="Arial;sans-serif" w:hAnsi="Arial;sans-serif"/>
          <w:b w:val="false"/>
          <w:color w:val="000000"/>
          <w:sz w:val="20"/>
        </w:rPr>
      </w:pPr>
      <w:r>
        <w:rPr>
          <w:rFonts w:ascii="Arial;sans-serif" w:hAnsi="Arial;sans-serif"/>
          <w:b w:val="false"/>
          <w:color w:val="000000"/>
          <w:sz w:val="20"/>
        </w:rPr>
        <w:t>Not required under Regulation S-K for “smaller reporting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180" w:after="180"/>
        <w:jc w:val="both"/>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maintain disclosure controls and procedures as defined under Rules 13a-15(e) and 15d-15(e) of the Exchange Act. Our disclosure controls and procedures have been designed to provide reasonable assurance that information required to be disclosed in our reports filed or submitted under the Exchange Act is recorded, processed, summarized, and reported within the time periods specified in the SEC's rules and forms. Our disclosure controls and procedures include controls and procedures designed to provide reasonable assurance that information required to be disclosed in reports filed or submitted under the Exchange Act is accumulated and communicated to our management, including our Chief Executive Officer and Chief Financial Officer, as appropriate, to allow timely decisions regarding required disclosure.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management, under the supervision and with the participation of our Chief Executive Officer and our Chief Financial Officer, evaluated the effectiveness of our disclosure controls and procedures pursuant to Exchange Act Rule 13a-15(b) as of June 30, 2026. Based on that evaluation, our Chief Executive Officer and Chief Financial Officer concluded that our disclosure controls and procedures were effective at the reasonable assurance level as of June 30, 2026.</w:t>
      </w:r>
    </w:p>
    <w:p>
      <w:pPr>
        <w:pStyle w:val="TextBody"/>
        <w:bidi w:val="0"/>
        <w:spacing w:lineRule="auto" w:line="288" w:before="180" w:after="180"/>
        <w:jc w:val="both"/>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There have been no changes in our internal control over financial reporting during the quarter ended June 30, 2026 that have materially affected, or are reasonably likely to materially affect, our internal control over financial reporting.</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8"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180" w:after="160"/>
        <w:jc w:val="left"/>
        <w:rPr>
          <w:rFonts w:ascii="Arial;sans-serif" w:hAnsi="Arial;sans-serif"/>
          <w:b/>
          <w:color w:val="000000"/>
          <w:sz w:val="20"/>
        </w:rPr>
      </w:pPr>
      <w:r>
        <w:rPr>
          <w:rFonts w:ascii="Arial;sans-serif" w:hAnsi="Arial;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160" w:after="283"/>
        <w:jc w:val="left"/>
        <w:rPr/>
      </w:pPr>
      <w:r>
        <w:rPr>
          <w:rFonts w:ascii="Arial;sans-serif" w:hAnsi="Arial;sans-serif"/>
          <w:b w:val="false"/>
          <w:color w:val="000000"/>
          <w:sz w:val="20"/>
        </w:rPr>
        <w:t xml:space="preserve">Information related to Item 1. Legal Proceedings is included in Note 10 </w:t>
      </w:r>
      <w:r>
        <w:rPr>
          <w:rFonts w:ascii="Arial;sans-serif" w:hAnsi="Arial;sans-serif"/>
          <w:b w:val="false"/>
          <w:i/>
          <w:color w:val="000000"/>
          <w:sz w:val="20"/>
        </w:rPr>
        <w:t>Commitments and Contingencies</w:t>
      </w:r>
      <w:r>
        <w:rPr>
          <w:rFonts w:ascii="Arial;sans-serif" w:hAnsi="Arial;sans-serif"/>
          <w:b w:val="false"/>
          <w:color w:val="000000"/>
          <w:sz w:val="20"/>
        </w:rPr>
        <w:t>,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 xml:space="preserve">For additional information about our risk factors, see “Risk Factors” in Item 1A of our 2025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 xml:space="preserve">Item 2. Unregistered Sales of Equity Securities and Use of Proceeds </w:t>
      </w:r>
    </w:p>
    <w:p>
      <w:pPr>
        <w:pStyle w:val="TextBody"/>
        <w:bidi w:val="0"/>
        <w:spacing w:lineRule="auto" w:line="288" w:before="120" w:after="283"/>
        <w:jc w:val="both"/>
        <w:rPr/>
      </w:pPr>
      <w:r>
        <w:rPr>
          <w:rFonts w:ascii="Arial;sans-serif" w:hAnsi="Arial;sans-serif"/>
          <w:b w:val="false"/>
          <w:color w:val="000000"/>
          <w:sz w:val="20"/>
        </w:rPr>
        <w:t xml:space="preserve">Our Board of Directors approved programs for the repurchase of outstanding shares of our common stock with an aggregate purchase amount of up to $10.0 million (the “November 2021 Program”) and $75.0 million (the “December 2024 Program”), in November 2021 and December 2024, respectively. The December 2024 Program replaced the authority granted under the November 2021 Program. Shares may be repurchased under the December 2024 Program from time to time, in amounts and at prices that the Company deems appropriate, subject to market and business conditions, applicable legal requirements and other considerations. The program may be executed using open market purchases pursuant to Rule 10b-18 under the Securities Exchange Act of 1934 (the “Exchange Act”), in privately negotiated agreements or by way of issuer tender offers, Rule 10b5-1 plans or other transactions. From the inception of the programs in November 2021 through </w:t>
      </w:r>
      <w:r>
        <w:rPr>
          <w:rFonts w:ascii="Arial;sans-serif" w:hAnsi="Arial;sans-serif"/>
          <w:b w:val="false"/>
          <w:color w:val="000000"/>
          <w:sz w:val="20"/>
          <w:shd w:fill="FFFFFF" w:val="clear"/>
        </w:rPr>
        <w:t>June 30, 2026</w:t>
      </w:r>
      <w:r>
        <w:rPr>
          <w:rFonts w:ascii="Arial;sans-serif" w:hAnsi="Arial;sans-serif"/>
          <w:b w:val="false"/>
          <w:color w:val="000000"/>
          <w:sz w:val="20"/>
        </w:rPr>
        <w:t xml:space="preserve">, we repurchased approximately 1.8 million shares of our common stock for aggregate consideration of $49.4 million. We repurchased approximately 0.1 million shares of our common stock for aggregate consideration of $7.6 million during the six months ended </w:t>
      </w:r>
      <w:r>
        <w:rPr>
          <w:rFonts w:ascii="Arial;sans-serif" w:hAnsi="Arial;sans-serif"/>
          <w:b w:val="false"/>
          <w:color w:val="000000"/>
          <w:sz w:val="20"/>
          <w:shd w:fill="FFFFFF" w:val="clear"/>
        </w:rPr>
        <w:t>June 30, 2026.</w:t>
      </w:r>
    </w:p>
    <w:p>
      <w:pPr>
        <w:pStyle w:val="TextBody"/>
        <w:bidi w:val="0"/>
        <w:spacing w:lineRule="auto" w:line="288" w:before="120" w:after="283"/>
        <w:jc w:val="both"/>
        <w:rPr/>
      </w:pPr>
      <w:r>
        <w:rPr>
          <w:rFonts w:ascii="Arial;sans-serif" w:hAnsi="Arial;sans-serif"/>
          <w:b w:val="false"/>
          <w:color w:val="000000"/>
          <w:sz w:val="20"/>
        </w:rPr>
        <w:t xml:space="preserve">The following table is a summary of our repurchases of our common stock during the three months ended June 30, 2026. As of </w:t>
      </w:r>
      <w:r>
        <w:rPr>
          <w:rFonts w:ascii="Arial;sans-serif" w:hAnsi="Arial;sans-serif"/>
          <w:b w:val="false"/>
          <w:color w:val="000000"/>
          <w:sz w:val="20"/>
          <w:shd w:fill="FFFFFF" w:val="clear"/>
        </w:rPr>
        <w:t>June 30, 2026</w:t>
      </w:r>
      <w:r>
        <w:rPr>
          <w:rFonts w:ascii="Arial;sans-serif" w:hAnsi="Arial;sans-serif"/>
          <w:b w:val="false"/>
          <w:color w:val="000000"/>
          <w:sz w:val="20"/>
        </w:rPr>
        <w:t>, the remaining authorization under the repurchase program is $33.1 million.</w:t>
      </w:r>
    </w:p>
    <w:tbl>
      <w:tblPr>
        <w:tblW w:w="10205" w:type="dxa"/>
        <w:jc w:val="left"/>
        <w:tblInd w:w="0" w:type="dxa"/>
        <w:tblLayout w:type="fixed"/>
        <w:tblCellMar>
          <w:top w:w="28" w:type="dxa"/>
          <w:left w:w="28" w:type="dxa"/>
          <w:bottom w:w="28" w:type="dxa"/>
          <w:right w:w="28" w:type="dxa"/>
        </w:tblCellMar>
      </w:tblPr>
      <w:tblGrid>
        <w:gridCol w:w="396"/>
        <w:gridCol w:w="348"/>
        <w:gridCol w:w="351"/>
        <w:gridCol w:w="109"/>
        <w:gridCol w:w="109"/>
        <w:gridCol w:w="109"/>
        <w:gridCol w:w="499"/>
        <w:gridCol w:w="499"/>
        <w:gridCol w:w="500"/>
        <w:gridCol w:w="109"/>
        <w:gridCol w:w="109"/>
        <w:gridCol w:w="109"/>
        <w:gridCol w:w="285"/>
        <w:gridCol w:w="873"/>
        <w:gridCol w:w="147"/>
        <w:gridCol w:w="109"/>
        <w:gridCol w:w="109"/>
        <w:gridCol w:w="109"/>
        <w:gridCol w:w="798"/>
        <w:gridCol w:w="798"/>
        <w:gridCol w:w="800"/>
        <w:gridCol w:w="109"/>
        <w:gridCol w:w="109"/>
        <w:gridCol w:w="109"/>
        <w:gridCol w:w="489"/>
        <w:gridCol w:w="1747"/>
        <w:gridCol w:w="367"/>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Period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number of shares purchased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Average price paid per share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number of shares purchased as part of publicly announced plan or programs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3"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Maximum value of shares that may yet be purchased under the plan or program (in thousands)</w:t>
            </w:r>
          </w:p>
        </w:tc>
      </w:tr>
      <w:tr>
        <w:trPr/>
        <w:tc>
          <w:tcPr>
            <w:tcW w:w="10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1, 2026 -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59.79 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35,139 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1, 2026 -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35,139 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June 1, 2026 -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50.77 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33,128 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20"/>
        <w:jc w:val="both"/>
        <w:rPr>
          <w:rFonts w:ascii="Arial;sans-serif" w:hAnsi="Arial;sans-serif"/>
          <w:b w:val="false"/>
          <w:color w:val="000000"/>
          <w:sz w:val="20"/>
        </w:rPr>
      </w:pPr>
      <w:r>
        <w:rPr>
          <w:rFonts w:ascii="Arial;sans-serif" w:hAnsi="Arial;sans-serif"/>
          <w:b w:val="false"/>
          <w:color w:val="000000"/>
          <w:sz w:val="20"/>
        </w:rPr>
        <w:t>Subsequent to June 30, 2026 through July 24, 2026, we repurchased approximately 16 thousand shares of our common stock for aggregate consideration of $0.8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180" w:after="283"/>
        <w:jc w:val="left"/>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417" w:before="160" w:after="283"/>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160" w:after="283"/>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417" w:before="160" w:after="283"/>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160" w:after="283"/>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417" w:before="120" w:after="120"/>
        <w:jc w:val="both"/>
        <w:rPr>
          <w:rFonts w:ascii="Arial;sans-serif" w:hAnsi="Arial;sans-serif"/>
          <w:b/>
          <w:i/>
          <w:color w:val="000000"/>
          <w:sz w:val="20"/>
        </w:rPr>
      </w:pPr>
      <w:r>
        <w:rPr>
          <w:rFonts w:ascii="Arial;sans-serif" w:hAnsi="Arial;sans-serif"/>
          <w:b/>
          <w:i/>
          <w:color w:val="000000"/>
          <w:sz w:val="20"/>
        </w:rPr>
        <w:t>Rule 10b5-1 Trading Plan</w:t>
      </w:r>
    </w:p>
    <w:p>
      <w:pPr>
        <w:pStyle w:val="TextBody"/>
        <w:bidi w:val="0"/>
        <w:spacing w:lineRule="auto" w:line="288" w:before="40" w:after="283"/>
        <w:jc w:val="both"/>
        <w:rPr>
          <w:rFonts w:ascii="Arial;sans-serif" w:hAnsi="Arial;sans-serif"/>
          <w:b w:val="false"/>
          <w:color w:val="000000"/>
          <w:sz w:val="20"/>
        </w:rPr>
      </w:pPr>
      <w:r>
        <w:rPr>
          <w:rFonts w:ascii="Arial;sans-serif" w:hAnsi="Arial;sans-serif"/>
          <w:b w:val="false"/>
          <w:color w:val="000000"/>
          <w:sz w:val="20"/>
        </w:rPr>
        <w:t xml:space="preserve">During the quarter ended June 30, 2026, no director or Section 16 officer adopted, modified or terminated Rule 10b5-1 trading arrangements or non-Rule 10b5-1 trading arrangements. </w:t>
      </w:r>
    </w:p>
    <w:p>
      <w:pPr>
        <w:pStyle w:val="TextBody"/>
        <w:bidi w:val="0"/>
        <w:spacing w:before="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9"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09"/>
        <w:gridCol w:w="270"/>
        <w:gridCol w:w="274"/>
        <w:gridCol w:w="115"/>
        <w:gridCol w:w="115"/>
        <w:gridCol w:w="116"/>
        <w:gridCol w:w="2735"/>
        <w:gridCol w:w="2589"/>
        <w:gridCol w:w="3682"/>
      </w:tblGrid>
      <w:tr>
        <w:trPr/>
        <w:tc>
          <w:tcPr>
            <w:tcW w:w="3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2589" w:type="dxa"/>
            <w:tcBorders/>
            <w:vAlign w:val="center"/>
          </w:tcPr>
          <w:p>
            <w:pPr>
              <w:pStyle w:val="TableContents"/>
              <w:bidi w:val="0"/>
              <w:spacing w:before="0" w:after="283"/>
              <w:jc w:val="left"/>
              <w:rPr>
                <w:sz w:val="4"/>
                <w:szCs w:val="4"/>
              </w:rPr>
            </w:pPr>
            <w:r>
              <w:rPr>
                <w:sz w:val="4"/>
                <w:szCs w:val="4"/>
              </w:rPr>
            </w:r>
          </w:p>
        </w:tc>
        <w:tc>
          <w:tcPr>
            <w:tcW w:w="3682" w:type="dxa"/>
            <w:tcBorders/>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DESCRIPTION</w:t>
            </w:r>
          </w:p>
        </w:tc>
      </w:tr>
      <w:tr>
        <w:trPr/>
        <w:tc>
          <w:tcPr>
            <w:tcW w:w="8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Arial;sans-serif" w:hAnsi="Arial;sans-serif"/>
                  <w:b w:val="false"/>
                  <w:color w:val="000080"/>
                  <w:sz w:val="20"/>
                  <w:u w:val="single"/>
                </w:rPr>
                <w:t xml:space="preserve">Second Amended and Restated 2016 Stock and Incentive Plan, as amended through May </w:t>
              </w:r>
            </w:hyperlink>
            <w:hyperlink r:id="rId3">
              <w:r>
                <w:rPr>
                  <w:rStyle w:val="InternetLink"/>
                  <w:rFonts w:ascii="Arial;sans-serif" w:hAnsi="Arial;sans-serif"/>
                  <w:b w:val="false"/>
                  <w:color w:val="000080"/>
                  <w:sz w:val="20"/>
                  <w:u w:val="single"/>
                </w:rPr>
                <w:t>8</w:t>
              </w:r>
            </w:hyperlink>
            <w:hyperlink r:id="rId4">
              <w:r>
                <w:rPr>
                  <w:rStyle w:val="InternetLink"/>
                  <w:rFonts w:ascii="Arial;sans-serif" w:hAnsi="Arial;sans-serif"/>
                  <w:b w:val="false"/>
                  <w:color w:val="000080"/>
                  <w:sz w:val="20"/>
                  <w:u w:val="single"/>
                </w:rPr>
                <w:t>, 202</w:t>
              </w:r>
            </w:hyperlink>
            <w:hyperlink r:id="rId5">
              <w:r>
                <w:rPr>
                  <w:rStyle w:val="InternetLink"/>
                  <w:rFonts w:ascii="Arial;sans-serif" w:hAnsi="Arial;sans-serif"/>
                  <w:b w:val="false"/>
                  <w:color w:val="000080"/>
                  <w:sz w:val="20"/>
                  <w:u w:val="single"/>
                </w:rPr>
                <w:t>6</w:t>
              </w:r>
            </w:hyperlink>
            <w:hyperlink r:id="rId6">
              <w:r>
                <w:rPr>
                  <w:rStyle w:val="InternetLink"/>
                  <w:rFonts w:ascii="Arial;sans-serif" w:hAnsi="Arial;sans-serif"/>
                  <w:b w:val="false"/>
                  <w:color w:val="000080"/>
                  <w:sz w:val="20"/>
                  <w:u w:val="single"/>
                </w:rPr>
                <w:t xml:space="preserve"> (incorporated by reference to Exhibit 10.1 to Forum's Current Report on Form 8-K filed on May </w:t>
              </w:r>
            </w:hyperlink>
            <w:hyperlink r:id="rId7">
              <w:r>
                <w:rPr>
                  <w:rStyle w:val="InternetLink"/>
                  <w:rFonts w:ascii="Arial;sans-serif" w:hAnsi="Arial;sans-serif"/>
                  <w:b w:val="false"/>
                  <w:color w:val="000080"/>
                  <w:sz w:val="20"/>
                  <w:u w:val="single"/>
                </w:rPr>
                <w:t>12</w:t>
              </w:r>
            </w:hyperlink>
            <w:hyperlink r:id="rId8">
              <w:r>
                <w:rPr>
                  <w:rStyle w:val="InternetLink"/>
                  <w:rFonts w:ascii="Arial;sans-serif" w:hAnsi="Arial;sans-serif"/>
                  <w:b w:val="false"/>
                  <w:color w:val="000080"/>
                  <w:sz w:val="20"/>
                  <w:u w:val="single"/>
                </w:rPr>
                <w:t>, 202</w:t>
              </w:r>
            </w:hyperlink>
            <w:hyperlink r:id="rId9">
              <w:r>
                <w:rPr>
                  <w:rStyle w:val="InternetLink"/>
                  <w:rFonts w:ascii="Arial;sans-serif" w:hAnsi="Arial;sans-serif"/>
                  <w:b w:val="false"/>
                  <w:color w:val="000080"/>
                  <w:sz w:val="20"/>
                  <w:u w:val="single"/>
                </w:rPr>
                <w:t>6</w:t>
              </w:r>
            </w:hyperlink>
            <w:hyperlink r:id="rId10">
              <w:r>
                <w:rPr>
                  <w:rStyle w:val="InternetLink"/>
                  <w:rFonts w:ascii="Arial;sans-serif" w:hAnsi="Arial;sans-serif"/>
                  <w:b w:val="false"/>
                  <w:color w:val="000080"/>
                  <w:sz w:val="20"/>
                  <w:u w:val="single"/>
                </w:rPr>
                <w:t>).</w:t>
              </w:r>
            </w:hyperlink>
          </w:p>
        </w:tc>
      </w:tr>
      <w:tr>
        <w:trPr/>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31.1*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1-10q22026.htm">
              <w:r>
                <w:rPr>
                  <w:rStyle w:val="InternetLink"/>
                  <w:rFonts w:ascii="Arial;sans-serif" w:hAnsi="Arial;sans-serif"/>
                  <w:b w:val="false"/>
                  <w:color w:val="0000FF"/>
                  <w:sz w:val="20"/>
                  <w:u w:val="single"/>
                </w:rPr>
                <w:t>Certification of Chief Executive Officer pursuant to Section 302 of the Sarbanes-Oxley Act of 2002.</w:t>
              </w:r>
            </w:hyperlink>
          </w:p>
        </w:tc>
      </w:tr>
      <w:tr>
        <w:trPr/>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31.2*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2-10q22026.htm">
              <w:r>
                <w:rPr>
                  <w:rStyle w:val="InternetLink"/>
                  <w:rFonts w:ascii="Arial;sans-serif" w:hAnsi="Arial;sans-serif"/>
                  <w:b w:val="false"/>
                  <w:color w:val="0000FF"/>
                  <w:sz w:val="20"/>
                  <w:u w:val="single"/>
                </w:rPr>
                <w:t>Certification of Chief Financial Officer pursuant to Section 302 of the Sarbanes-Oxley Act of 2002.</w:t>
              </w:r>
            </w:hyperlink>
          </w:p>
        </w:tc>
      </w:tr>
      <w:tr>
        <w:trPr/>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32.1**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1-10q22026.htm">
              <w:r>
                <w:rPr>
                  <w:rStyle w:val="InternetLink"/>
                  <w:rFonts w:ascii="Arial;sans-serif" w:hAnsi="Arial;sans-serif"/>
                  <w:b w:val="false"/>
                  <w:color w:val="0000FF"/>
                  <w:sz w:val="20"/>
                  <w:u w:val="single"/>
                </w:rPr>
                <w:t>Certification of Chief Executive Officer pursuant to Section 906 of the Sarbanes-Oxley Act of 2002.</w:t>
              </w:r>
            </w:hyperlink>
          </w:p>
        </w:tc>
      </w:tr>
      <w:tr>
        <w:trPr/>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32.2**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2-10q22026.htm">
              <w:r>
                <w:rPr>
                  <w:rStyle w:val="InternetLink"/>
                  <w:rFonts w:ascii="Arial;sans-serif" w:hAnsi="Arial;sans-serif"/>
                  <w:b w:val="false"/>
                  <w:color w:val="0000FF"/>
                  <w:sz w:val="20"/>
                  <w:u w:val="single"/>
                </w:rPr>
                <w:t>Certification of Chief Financial Officer pursuant to Section 906 of the Sarbanes-Oxley Act of 2002.</w:t>
              </w:r>
            </w:hyperlink>
          </w:p>
        </w:tc>
      </w:tr>
      <w:tr>
        <w:trPr/>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101.INS*</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Instance Document.</w:t>
            </w:r>
          </w:p>
        </w:tc>
      </w:tr>
      <w:tr>
        <w:trPr/>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101.SCH*</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Taxonomy Extension Schema Document.</w:t>
            </w:r>
          </w:p>
        </w:tc>
      </w:tr>
      <w:tr>
        <w:trPr/>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101.CAL*</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r>
      <w:tr>
        <w:trPr/>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101.LAB*</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r>
      <w:tr>
        <w:trPr/>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101.PRE*</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r>
      <w:tr>
        <w:trPr/>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101.DEF*</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r>
      <w:tr>
        <w:trPr/>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 101).</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*Filed herewith.</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**Furnished herewith.</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#Identifies management contracts and compensatory plans or arrangements.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30"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As required by Section 13 or 15(d) of the Securities Exchange Act of 1934, the registrant has authorized this report to be signed on its behalf by the undersigned authorized individuals.</w:t>
      </w:r>
    </w:p>
    <w:tbl>
      <w:tblPr>
        <w:tblW w:w="9609" w:type="dxa"/>
        <w:jc w:val="left"/>
        <w:tblInd w:w="0" w:type="dxa"/>
        <w:tblLayout w:type="fixed"/>
        <w:tblCellMar>
          <w:top w:w="28" w:type="dxa"/>
          <w:left w:w="28" w:type="dxa"/>
          <w:bottom w:w="28" w:type="dxa"/>
          <w:right w:w="28" w:type="dxa"/>
        </w:tblCellMar>
      </w:tblPr>
      <w:tblGrid>
        <w:gridCol w:w="211"/>
        <w:gridCol w:w="186"/>
        <w:gridCol w:w="188"/>
        <w:gridCol w:w="424"/>
        <w:gridCol w:w="424"/>
        <w:gridCol w:w="427"/>
        <w:gridCol w:w="654"/>
        <w:gridCol w:w="654"/>
        <w:gridCol w:w="654"/>
        <w:gridCol w:w="1803"/>
        <w:gridCol w:w="1803"/>
        <w:gridCol w:w="1809"/>
        <w:gridCol w:w="109"/>
        <w:gridCol w:w="109"/>
        <w:gridCol w:w="154"/>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6"/>
            <w:tcBorders/>
            <w:tcMar>
              <w:top w:w="0" w:type="dxa"/>
              <w:left w:w="0" w:type="dxa"/>
              <w:bottom w:w="0" w:type="dxa"/>
              <w:right w:w="0" w:type="dxa"/>
            </w:tcMar>
            <w:vAlign w:val="center"/>
          </w:tcPr>
          <w:p>
            <w:pPr>
              <w:pStyle w:val="TableContents"/>
              <w:bidi w:val="0"/>
              <w:spacing w:lineRule="auto" w:line="288" w:before="0" w:after="0"/>
              <w:ind w:left="0" w:right="0" w:firstLine="45"/>
              <w:jc w:val="left"/>
              <w:rPr/>
            </w:pPr>
            <w:r>
              <w:rPr>
                <w:rFonts w:ascii="Arial;sans-serif" w:hAnsi="Arial;sans-serif"/>
                <w:b/>
                <w:color w:val="000000"/>
                <w:sz w:val="20"/>
              </w:rPr>
              <w:t>FORUM ENERGY TECHNOLOGIES, INC.</w:t>
            </w:r>
            <w:r>
              <w:rPr>
                <w:color w:val="000000"/>
              </w:rPr>
              <w:t xml:space="preserve"> </w:t>
            </w:r>
          </w:p>
          <w:p>
            <w:pPr>
              <w:pStyle w:val="TableContents"/>
              <w:bidi w:val="0"/>
              <w:spacing w:lineRule="auto" w:line="240" w:before="0" w:after="0"/>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31, 2026</w:t>
            </w:r>
          </w:p>
        </w:tc>
        <w:tc>
          <w:tcPr>
            <w:tcW w:w="19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By:</w:t>
            </w:r>
          </w:p>
        </w:tc>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/s/ D. Lyle Williams, Jr.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 Lyle Williams, Jr.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 Duly Authorized Officer and 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By:</w:t>
            </w:r>
          </w:p>
        </w:tc>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Katherine C. Keller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Katherine C. Keller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and Chief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 Duly Authorized Officer and 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1"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32</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Forum Energy Technologies,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Neal A. Lux,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Forum Energy Technologies, Inc.;</w:t>
      </w:r>
    </w:p>
    <w:p>
      <w:pPr>
        <w:pStyle w:val="TextBody"/>
        <w:bidi w:val="0"/>
        <w:spacing w:lineRule="auto" w:line="288" w:before="160" w:after="283"/>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6086" w:type="dxa"/>
        <w:jc w:val="left"/>
        <w:tblInd w:w="0" w:type="dxa"/>
        <w:tblLayout w:type="fixed"/>
        <w:tblCellMar>
          <w:top w:w="28" w:type="dxa"/>
          <w:left w:w="28" w:type="dxa"/>
          <w:bottom w:w="28" w:type="dxa"/>
          <w:right w:w="28" w:type="dxa"/>
        </w:tblCellMar>
      </w:tblPr>
      <w:tblGrid>
        <w:gridCol w:w="233"/>
        <w:gridCol w:w="205"/>
        <w:gridCol w:w="207"/>
        <w:gridCol w:w="424"/>
        <w:gridCol w:w="424"/>
        <w:gridCol w:w="427"/>
        <w:gridCol w:w="134"/>
        <w:gridCol w:w="134"/>
        <w:gridCol w:w="136"/>
        <w:gridCol w:w="1128"/>
        <w:gridCol w:w="1128"/>
        <w:gridCol w:w="1134"/>
        <w:gridCol w:w="109"/>
        <w:gridCol w:w="109"/>
        <w:gridCol w:w="154"/>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31,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By:</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 Neal A. Lux</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Neal A. Lux</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Forum Energy Technologies,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D. Lyle Williams, Jr., certify that:</w:t>
      </w:r>
    </w:p>
    <w:p>
      <w:pPr>
        <w:pStyle w:val="TextBody"/>
        <w:bidi w:val="0"/>
        <w:spacing w:lineRule="auto" w:line="288" w:before="160" w:after="283"/>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Forum Energy Technologies, Inc.;</w:t>
      </w:r>
    </w:p>
    <w:p>
      <w:pPr>
        <w:pStyle w:val="TextBody"/>
        <w:bidi w:val="0"/>
        <w:spacing w:lineRule="auto" w:line="288" w:before="160" w:after="283"/>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7375" w:type="dxa"/>
        <w:jc w:val="left"/>
        <w:tblInd w:w="0" w:type="dxa"/>
        <w:tblLayout w:type="fixed"/>
        <w:tblCellMar>
          <w:top w:w="28" w:type="dxa"/>
          <w:left w:w="28" w:type="dxa"/>
          <w:bottom w:w="28" w:type="dxa"/>
          <w:right w:w="28" w:type="dxa"/>
        </w:tblCellMar>
      </w:tblPr>
      <w:tblGrid>
        <w:gridCol w:w="233"/>
        <w:gridCol w:w="205"/>
        <w:gridCol w:w="207"/>
        <w:gridCol w:w="424"/>
        <w:gridCol w:w="424"/>
        <w:gridCol w:w="427"/>
        <w:gridCol w:w="134"/>
        <w:gridCol w:w="134"/>
        <w:gridCol w:w="136"/>
        <w:gridCol w:w="1558"/>
        <w:gridCol w:w="1558"/>
        <w:gridCol w:w="1563"/>
        <w:gridCol w:w="109"/>
        <w:gridCol w:w="109"/>
        <w:gridCol w:w="154"/>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31,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By:</w:t>
            </w:r>
          </w:p>
        </w:tc>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/s/ D. Lyle Williams, Jr.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 Lyle Williams, Jr.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Certification Pursuant to 18 U.S.C. Section 1350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(Adopted Pursuant to 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In connection with the Quarterly Report on Form 10-Q of Forum Energy Technologies, Inc. (the “Company”) for the quarter ended June 30, 2026, as filed with the Securities and Exchange Commission on the date hereof (the “Report”), Neal A. Lux, as Chief Executive Officer of the Company, hereby certifies, pursuant to 18 U.S.C. § 1350, as adopted pursuant to § 906 of the Sarbanes-Oxley Act of 2002, that, to the best of his knowledge:</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(1)  The Report fully complies with the requirements of Section 13(a) or 15(d) of the Securities Exchange Act of 1934, as amended (the "Exchange Act"); and</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(2)  The information contained in the Report fairly presents, in all material respects, the financial condition and results of operations of the Company.</w:t>
      </w:r>
    </w:p>
    <w:tbl>
      <w:tblPr>
        <w:tblW w:w="6146" w:type="dxa"/>
        <w:jc w:val="left"/>
        <w:tblInd w:w="0" w:type="dxa"/>
        <w:tblLayout w:type="fixed"/>
        <w:tblCellMar>
          <w:top w:w="28" w:type="dxa"/>
          <w:left w:w="28" w:type="dxa"/>
          <w:bottom w:w="28" w:type="dxa"/>
          <w:right w:w="28" w:type="dxa"/>
        </w:tblCellMar>
      </w:tblPr>
      <w:tblGrid>
        <w:gridCol w:w="255"/>
        <w:gridCol w:w="224"/>
        <w:gridCol w:w="226"/>
        <w:gridCol w:w="424"/>
        <w:gridCol w:w="424"/>
        <w:gridCol w:w="427"/>
        <w:gridCol w:w="134"/>
        <w:gridCol w:w="134"/>
        <w:gridCol w:w="136"/>
        <w:gridCol w:w="1128"/>
        <w:gridCol w:w="1128"/>
        <w:gridCol w:w="1134"/>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31,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By:</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 Neal A. Lux</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Neal A. Lux</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jc w:val="left"/>
        <w:rPr/>
      </w:pPr>
      <w:r>
        <w:rPr/>
      </w:r>
    </w:p>
    <w:p>
      <w:pPr>
        <w:pStyle w:val="TextBody"/>
        <w:bidi w:val="0"/>
        <w:spacing w:lineRule="auto" w:line="288"/>
        <w:ind w:left="0" w:right="0" w:firstLine="720"/>
        <w:jc w:val="left"/>
        <w:rPr>
          <w:rFonts w:ascii="Arial;sans-serif" w:hAnsi="Arial;sans-serif"/>
          <w:b w:val="false"/>
          <w:color w:val="000000"/>
          <w:sz w:val="20"/>
        </w:rPr>
      </w:pPr>
      <w:r>
        <w:rPr>
          <w:rFonts w:ascii="Arial;sans-serif" w:hAnsi="Arial;sans-serif"/>
          <w:b w:val="false"/>
          <w:color w:val="000000"/>
          <w:sz w:val="20"/>
        </w:rPr>
        <w:t>This certification shall not be deemed filed by the Company for purposes of § 18 of the Exchange Act.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Certification Pursuant to 18 U.S.C. Section 1350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(Adopted Pursuant to 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In connection with the Quarterly Report on Form 10-Q of Forum Energy Technologies, Inc. (the “Company”) for the quarter ended June 30, 2026, as filed with the Securities and Exchange Commission on the date hereof (the “Report”), D. Lyle Williams, Jr., as Chief Financial Officer of the Company, hereby certifies, pursuant to 18 U.S.C. § 1350, as adopted pursuant to § 906 of the Sarbanes-Oxley Act of 2002, that, to the best of his knowledge:</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(1)  The Report fully complies with the requirements of Section 13(a) or 15(d) of the Securities Exchange Act of 1934, as amended (the "Exchange Act"); and</w:t>
      </w:r>
    </w:p>
    <w:p>
      <w:pPr>
        <w:pStyle w:val="TextBody"/>
        <w:bidi w:val="0"/>
        <w:spacing w:lineRule="auto" w:line="288" w:before="160" w:after="283"/>
        <w:ind w:left="0" w:right="0" w:firstLine="720"/>
        <w:jc w:val="left"/>
        <w:rPr>
          <w:rFonts w:ascii="Arial;sans-serif" w:hAnsi="Arial;sans-serif"/>
          <w:b w:val="false"/>
          <w:color w:val="000000"/>
          <w:sz w:val="20"/>
        </w:rPr>
      </w:pPr>
      <w:r>
        <w:rPr>
          <w:rFonts w:ascii="Arial;sans-serif" w:hAnsi="Arial;sans-serif"/>
          <w:b w:val="false"/>
          <w:color w:val="000000"/>
          <w:sz w:val="20"/>
        </w:rPr>
        <w:t>(2)  The information contained in the Report fairly presents, in all material respects, the financial condition and results of operations of the Company.</w:t>
      </w:r>
    </w:p>
    <w:tbl>
      <w:tblPr>
        <w:tblW w:w="7435" w:type="dxa"/>
        <w:jc w:val="left"/>
        <w:tblInd w:w="0" w:type="dxa"/>
        <w:tblLayout w:type="fixed"/>
        <w:tblCellMar>
          <w:top w:w="28" w:type="dxa"/>
          <w:left w:w="28" w:type="dxa"/>
          <w:bottom w:w="28" w:type="dxa"/>
          <w:right w:w="28" w:type="dxa"/>
        </w:tblCellMar>
      </w:tblPr>
      <w:tblGrid>
        <w:gridCol w:w="255"/>
        <w:gridCol w:w="224"/>
        <w:gridCol w:w="226"/>
        <w:gridCol w:w="424"/>
        <w:gridCol w:w="424"/>
        <w:gridCol w:w="427"/>
        <w:gridCol w:w="134"/>
        <w:gridCol w:w="134"/>
        <w:gridCol w:w="136"/>
        <w:gridCol w:w="1558"/>
        <w:gridCol w:w="1558"/>
        <w:gridCol w:w="1563"/>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31,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By:</w:t>
            </w:r>
          </w:p>
        </w:tc>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/s/ D. Lyle Williams, Jr.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 Lyle Williams, Jr.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jc w:val="left"/>
        <w:rPr/>
      </w:pPr>
      <w:r>
        <w:rPr/>
      </w:r>
    </w:p>
    <w:p>
      <w:pPr>
        <w:pStyle w:val="TextBody"/>
        <w:bidi w:val="0"/>
        <w:spacing w:lineRule="auto" w:line="288"/>
        <w:ind w:left="0" w:right="0" w:firstLine="720"/>
        <w:jc w:val="left"/>
        <w:rPr>
          <w:rFonts w:ascii="Arial;sans-serif" w:hAnsi="Arial;sans-serif"/>
          <w:b w:val="false"/>
          <w:color w:val="000000"/>
          <w:sz w:val="20"/>
        </w:rPr>
      </w:pPr>
      <w:r>
        <w:rPr>
          <w:rFonts w:ascii="Arial;sans-serif" w:hAnsi="Arial;sans-serif"/>
          <w:b w:val="false"/>
          <w:color w:val="000000"/>
          <w:sz w:val="20"/>
        </w:rPr>
        <w:t>This certification shall not be deemed filed by the Company for purposes of § 18 of the Exchange Act.</w:t>
      </w:r>
    </w:p>
    <w:p>
      <w:pPr>
        <w:pStyle w:val="TextBody"/>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01257/000140125726000039/exhibit101-secondamendedas.htm" TargetMode="External"/><Relationship Id="rId3" Type="http://schemas.openxmlformats.org/officeDocument/2006/relationships/hyperlink" Target="https://www.sec.gov/Archives/edgar/data/1401257/000140125726000039/exhibit101-secondamendedas.htm" TargetMode="External"/><Relationship Id="rId4" Type="http://schemas.openxmlformats.org/officeDocument/2006/relationships/hyperlink" Target="https://www.sec.gov/Archives/edgar/data/1401257/000140125726000039/exhibit101-secondamendedas.htm" TargetMode="External"/><Relationship Id="rId5" Type="http://schemas.openxmlformats.org/officeDocument/2006/relationships/hyperlink" Target="https://www.sec.gov/Archives/edgar/data/1401257/000140125726000039/exhibit101-secondamendedas.htm" TargetMode="External"/><Relationship Id="rId6" Type="http://schemas.openxmlformats.org/officeDocument/2006/relationships/hyperlink" Target="https://www.sec.gov/Archives/edgar/data/1401257/000140125726000039/exhibit101-secondamendedas.htm" TargetMode="External"/><Relationship Id="rId7" Type="http://schemas.openxmlformats.org/officeDocument/2006/relationships/hyperlink" Target="https://www.sec.gov/Archives/edgar/data/1401257/000140125726000039/exhibit101-secondamendedas.htm" TargetMode="External"/><Relationship Id="rId8" Type="http://schemas.openxmlformats.org/officeDocument/2006/relationships/hyperlink" Target="https://www.sec.gov/Archives/edgar/data/1401257/000140125726000039/exhibit101-secondamendedas.htm" TargetMode="External"/><Relationship Id="rId9" Type="http://schemas.openxmlformats.org/officeDocument/2006/relationships/hyperlink" Target="https://www.sec.gov/Archives/edgar/data/1401257/000140125726000039/exhibit101-secondamendedas.htm" TargetMode="External"/><Relationship Id="rId10" Type="http://schemas.openxmlformats.org/officeDocument/2006/relationships/hyperlink" Target="https://www.sec.gov/Archives/edgar/data/1401257/000140125726000039/exhibit101-secondamendedas.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13568</Words>
  <Characters>75057</Characters>
  <CharactersWithSpaces>87455</CharactersWithSpaces>
  <Paragraphs>2185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